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CEED1" w14:textId="77777777" w:rsidR="006E4C83" w:rsidRDefault="006E4C83" w:rsidP="00C6073B">
      <w:pPr>
        <w:rPr>
          <w:rFonts w:ascii="Trebuchet MS" w:hAnsi="Trebuchet MS" w:cs="Arial"/>
          <w:b/>
          <w:color w:val="7030A0"/>
          <w:sz w:val="36"/>
          <w:szCs w:val="36"/>
        </w:rPr>
      </w:pPr>
      <w:bookmarkStart w:id="0" w:name="_Hlk56436249"/>
    </w:p>
    <w:p w14:paraId="78F226A4" w14:textId="29D5DA1A" w:rsidR="00C6073B" w:rsidRDefault="006E4C83" w:rsidP="00C6073B">
      <w:pPr>
        <w:rPr>
          <w:rFonts w:ascii="Trebuchet MS" w:hAnsi="Trebuchet MS" w:cs="Arial"/>
          <w:b/>
          <w:color w:val="7030A0"/>
          <w:sz w:val="36"/>
          <w:szCs w:val="36"/>
        </w:rPr>
      </w:pPr>
      <w:r>
        <w:rPr>
          <w:rFonts w:ascii="Trebuchet MS" w:hAnsi="Trebuchet MS" w:cs="Arial"/>
          <w:b/>
          <w:color w:val="7030A0"/>
          <w:sz w:val="36"/>
          <w:szCs w:val="36"/>
        </w:rPr>
        <w:t xml:space="preserve">Covenant </w:t>
      </w:r>
      <w:r w:rsidR="00C6073B" w:rsidRPr="00BA1076">
        <w:rPr>
          <w:rFonts w:ascii="Trebuchet MS" w:hAnsi="Trebuchet MS" w:cs="Arial"/>
          <w:b/>
          <w:color w:val="7030A0"/>
          <w:sz w:val="36"/>
          <w:szCs w:val="36"/>
        </w:rPr>
        <w:t>quotes</w:t>
      </w:r>
    </w:p>
    <w:p w14:paraId="7CC1624D" w14:textId="77777777" w:rsidR="00C6073B" w:rsidRDefault="00C6073B" w:rsidP="00C6073B">
      <w:pPr>
        <w:rPr>
          <w:rFonts w:ascii="Trebuchet MS" w:hAnsi="Trebuchet MS" w:cs="Arial"/>
          <w:b/>
          <w:color w:val="7030A0"/>
          <w:sz w:val="36"/>
          <w:szCs w:val="36"/>
        </w:rPr>
      </w:pPr>
    </w:p>
    <w:bookmarkEnd w:id="0"/>
    <w:p w14:paraId="0022EF11" w14:textId="77777777" w:rsidR="006E4C83" w:rsidRPr="006E4C83" w:rsidRDefault="006E4C83" w:rsidP="006E4C83">
      <w:pPr>
        <w:spacing w:after="160"/>
        <w:rPr>
          <w:rFonts w:ascii="Trebuchet MS" w:eastAsia="Calibri" w:hAnsi="Trebuchet MS" w:cs="Calibri"/>
          <w:color w:val="181818"/>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‘Everything you do is connected to who you are as a person and, in turn, creates the person you are becoming. Everything you do affects those you love. All of life is covenant.</w:t>
      </w:r>
    </w:p>
    <w:p w14:paraId="6280193D" w14:textId="77777777" w:rsidR="006E4C83" w:rsidRDefault="006E4C83" w:rsidP="006E4C83">
      <w:pPr>
        <w:spacing w:after="160"/>
        <w:rPr>
          <w:rFonts w:ascii="Trebuchet MS" w:eastAsia="Calibri" w:hAnsi="Trebuchet MS" w:cs="Calibri"/>
          <w:color w:val="181818"/>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Embedded in the idea of prayer is a richly textured view of the world where all of life is organised around invisible bonds or covenants that knit us together. Instead of a fixed world, we live in our Father’s world, a world built for divine relationships between people where, because of the good news, tragedies become comedies and hope is born.’</w:t>
      </w:r>
    </w:p>
    <w:p w14:paraId="573A1E7D" w14:textId="76B6861B" w:rsidR="006E4C83" w:rsidRPr="00BB0C21" w:rsidRDefault="006E4C83" w:rsidP="006E4C83">
      <w:pPr>
        <w:spacing w:after="160"/>
        <w:ind w:left="7200"/>
        <w:rPr>
          <w:rFonts w:ascii="Trebuchet MS" w:eastAsia="Calibri" w:hAnsi="Trebuchet MS" w:cs="Calibri"/>
          <w:color w:val="ED7D31" w:themeColor="accent2"/>
          <w:sz w:val="22"/>
          <w:szCs w:val="22"/>
          <w:shd w:val="clear" w:color="auto" w:fill="FFFFFF"/>
          <w:lang w:eastAsia="en-US"/>
        </w:rPr>
      </w:pPr>
      <w:r w:rsidRPr="00BB0C21">
        <w:rPr>
          <w:rFonts w:ascii="Trebuchet MS" w:eastAsia="Calibri" w:hAnsi="Trebuchet MS" w:cs="Calibri"/>
          <w:color w:val="ED7D31" w:themeColor="accent2"/>
          <w:sz w:val="22"/>
          <w:szCs w:val="22"/>
          <w:shd w:val="clear" w:color="auto" w:fill="FFFFFF"/>
          <w:lang w:eastAsia="en-US"/>
        </w:rPr>
        <w:t xml:space="preserve">      </w:t>
      </w:r>
      <w:r w:rsidRPr="00BB0C21">
        <w:rPr>
          <w:rFonts w:ascii="Trebuchet MS" w:eastAsia="Calibri" w:hAnsi="Trebuchet MS" w:cs="Calibri"/>
          <w:b/>
          <w:bCs/>
          <w:color w:val="ED7D31" w:themeColor="accent2"/>
          <w:sz w:val="22"/>
          <w:szCs w:val="22"/>
          <w:shd w:val="clear" w:color="auto" w:fill="FFFFFF"/>
          <w:lang w:eastAsia="en-US"/>
        </w:rPr>
        <w:t>Paul E. Miller</w:t>
      </w:r>
      <w:r w:rsidRPr="00BB0C21">
        <w:rPr>
          <w:rFonts w:ascii="Trebuchet MS" w:eastAsia="Calibri" w:hAnsi="Trebuchet MS" w:cs="Calibri"/>
          <w:color w:val="ED7D31" w:themeColor="accent2"/>
          <w:sz w:val="22"/>
          <w:szCs w:val="22"/>
          <w:lang w:eastAsia="en-US"/>
        </w:rPr>
        <w:t xml:space="preserve"> </w:t>
      </w:r>
    </w:p>
    <w:p w14:paraId="6BB08DE8" w14:textId="77777777" w:rsidR="006E4C83" w:rsidRPr="00BB0C21" w:rsidRDefault="006E4C83" w:rsidP="006E4C83">
      <w:pPr>
        <w:spacing w:after="160"/>
        <w:rPr>
          <w:rFonts w:ascii="Trebuchet MS" w:eastAsia="Calibri" w:hAnsi="Trebuchet MS" w:cs="Calibri"/>
          <w:color w:val="ED7D31" w:themeColor="accent2"/>
          <w:sz w:val="22"/>
          <w:szCs w:val="22"/>
          <w:lang w:eastAsia="en-US"/>
        </w:rPr>
      </w:pPr>
    </w:p>
    <w:p w14:paraId="27C87825" w14:textId="0FED9E12" w:rsidR="006E4C83" w:rsidRPr="00BB0C21" w:rsidRDefault="006E4C83" w:rsidP="006E4C83">
      <w:pPr>
        <w:spacing w:after="160"/>
        <w:rPr>
          <w:rFonts w:ascii="Trebuchet MS" w:eastAsia="Calibri" w:hAnsi="Trebuchet MS" w:cs="Calibri"/>
          <w:color w:val="ED7D31" w:themeColor="accent2"/>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 xml:space="preserve">‘Then God establishes his Covenant with Noah, and with his sons, “and with every living creature”. Many recall the Covenant with </w:t>
      </w:r>
      <w:proofErr w:type="gramStart"/>
      <w:r w:rsidRPr="006E4C83">
        <w:rPr>
          <w:rFonts w:ascii="Trebuchet MS" w:eastAsia="Calibri" w:hAnsi="Trebuchet MS" w:cs="Calibri"/>
          <w:color w:val="181818"/>
          <w:sz w:val="22"/>
          <w:szCs w:val="22"/>
          <w:shd w:val="clear" w:color="auto" w:fill="FFFFFF"/>
          <w:lang w:eastAsia="en-US"/>
        </w:rPr>
        <w:t>Noah, but</w:t>
      </w:r>
      <w:proofErr w:type="gramEnd"/>
      <w:r w:rsidRPr="006E4C83">
        <w:rPr>
          <w:rFonts w:ascii="Trebuchet MS" w:eastAsia="Calibri" w:hAnsi="Trebuchet MS" w:cs="Calibri"/>
          <w:color w:val="181818"/>
          <w:sz w:val="22"/>
          <w:szCs w:val="22"/>
          <w:shd w:val="clear" w:color="auto" w:fill="FFFFFF"/>
          <w:lang w:eastAsia="en-US"/>
        </w:rPr>
        <w:t xml:space="preserve"> forget the Covenant with all other living beings. However, God does not forget it. He repeats the terms “all flesh” and “every living creature” </w:t>
      </w:r>
      <w:proofErr w:type="gramStart"/>
      <w:r w:rsidRPr="006E4C83">
        <w:rPr>
          <w:rFonts w:ascii="Trebuchet MS" w:eastAsia="Calibri" w:hAnsi="Trebuchet MS" w:cs="Calibri"/>
          <w:color w:val="181818"/>
          <w:sz w:val="22"/>
          <w:szCs w:val="22"/>
          <w:shd w:val="clear" w:color="auto" w:fill="FFFFFF"/>
          <w:lang w:eastAsia="en-US"/>
        </w:rPr>
        <w:t>a number of</w:t>
      </w:r>
      <w:proofErr w:type="gramEnd"/>
      <w:r w:rsidRPr="006E4C83">
        <w:rPr>
          <w:rFonts w:ascii="Trebuchet MS" w:eastAsia="Calibri" w:hAnsi="Trebuchet MS" w:cs="Calibri"/>
          <w:color w:val="181818"/>
          <w:sz w:val="22"/>
          <w:szCs w:val="22"/>
          <w:shd w:val="clear" w:color="auto" w:fill="FFFFFF"/>
          <w:lang w:eastAsia="en-US"/>
        </w:rPr>
        <w:t xml:space="preserve"> times, to make sure we get the point. No one can make a Covenant with a stone: for a Covenant to exist, there must be a minimum of two live and responsible parties to it.’ </w:t>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sidRPr="00BB0C21">
        <w:rPr>
          <w:rFonts w:ascii="Trebuchet MS" w:eastAsia="Calibri" w:hAnsi="Trebuchet MS" w:cs="Calibri"/>
          <w:b/>
          <w:bCs/>
          <w:color w:val="ED7D31" w:themeColor="accent2"/>
          <w:sz w:val="22"/>
          <w:szCs w:val="22"/>
          <w:shd w:val="clear" w:color="auto" w:fill="FFFFFF"/>
          <w:lang w:eastAsia="en-US"/>
        </w:rPr>
        <w:t>Margaret Atwood</w:t>
      </w:r>
    </w:p>
    <w:p w14:paraId="4CABA6D9" w14:textId="77777777" w:rsidR="006E4C83" w:rsidRPr="00BB0C21" w:rsidRDefault="006E4C83" w:rsidP="006E4C83">
      <w:pPr>
        <w:spacing w:after="160"/>
        <w:rPr>
          <w:rFonts w:ascii="Trebuchet MS" w:eastAsia="Calibri" w:hAnsi="Trebuchet MS" w:cs="Calibri"/>
          <w:color w:val="ED7D31" w:themeColor="accent2"/>
          <w:sz w:val="22"/>
          <w:szCs w:val="22"/>
          <w:shd w:val="clear" w:color="auto" w:fill="FFFFFF"/>
          <w:lang w:eastAsia="en-US"/>
        </w:rPr>
      </w:pPr>
    </w:p>
    <w:p w14:paraId="50B5F14B" w14:textId="77777777" w:rsidR="006E4C83" w:rsidRPr="006E4C83" w:rsidRDefault="006E4C83" w:rsidP="006E4C83">
      <w:pPr>
        <w:spacing w:after="160"/>
        <w:rPr>
          <w:rFonts w:ascii="Trebuchet MS" w:eastAsia="Calibri" w:hAnsi="Trebuchet MS" w:cs="Calibri"/>
          <w:color w:val="181818"/>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‘When God makes a covenant with us, God says: “I will love you with an everlasting love. I will be faithful to you, even when you run away from me, reject me, or betray me.” In our society we don’t speak much about covenants; we speak about contracts. When we make a contract with a person, we say: “I will fulfil my part as long as you fulfil yours. When you don’t live up to your promises, I no longer have to live up to mine.” Contracts are often broken because the partners are unwilling or unable to be faithful to their terms.</w:t>
      </w:r>
    </w:p>
    <w:p w14:paraId="6EF69985" w14:textId="5B3674DB" w:rsidR="006E4C83" w:rsidRPr="00BB0C21" w:rsidRDefault="006E4C83" w:rsidP="006E4C83">
      <w:pPr>
        <w:spacing w:after="160"/>
        <w:rPr>
          <w:rFonts w:ascii="Trebuchet MS" w:eastAsia="Calibri" w:hAnsi="Trebuchet MS" w:cs="Calibri"/>
          <w:color w:val="ED7D31" w:themeColor="accent2"/>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 xml:space="preserve">‘But God didn’t make a contract with us; God made a covenant with us, and God wants our relationships with one another to reflect that covenant. That’s why marriage, friendship, life in community are all ways to give visibility to God’s faithfulness in our lives together.’ </w:t>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sidRPr="00BB0C21">
        <w:rPr>
          <w:rFonts w:ascii="Trebuchet MS" w:eastAsia="Calibri" w:hAnsi="Trebuchet MS" w:cs="Calibri"/>
          <w:b/>
          <w:bCs/>
          <w:color w:val="ED7D31" w:themeColor="accent2"/>
          <w:sz w:val="22"/>
          <w:szCs w:val="22"/>
          <w:shd w:val="clear" w:color="auto" w:fill="FFFFFF"/>
          <w:lang w:eastAsia="en-US"/>
        </w:rPr>
        <w:t>Henri JM Nouwen</w:t>
      </w:r>
      <w:r w:rsidRPr="00BB0C21">
        <w:rPr>
          <w:rFonts w:ascii="Trebuchet MS" w:eastAsia="Calibri" w:hAnsi="Trebuchet MS" w:cs="Calibri"/>
          <w:color w:val="ED7D31" w:themeColor="accent2"/>
          <w:sz w:val="22"/>
          <w:szCs w:val="22"/>
          <w:shd w:val="clear" w:color="auto" w:fill="FFFFFF"/>
          <w:lang w:eastAsia="en-US"/>
        </w:rPr>
        <w:t xml:space="preserve"> </w:t>
      </w:r>
    </w:p>
    <w:p w14:paraId="7E2DE58A" w14:textId="77777777" w:rsidR="006E4C83" w:rsidRPr="00BB0C21" w:rsidRDefault="006E4C83" w:rsidP="006E4C83">
      <w:pPr>
        <w:spacing w:after="160"/>
        <w:rPr>
          <w:rFonts w:ascii="Trebuchet MS" w:eastAsia="Calibri" w:hAnsi="Trebuchet MS" w:cs="Calibri"/>
          <w:color w:val="ED7D31" w:themeColor="accent2"/>
          <w:sz w:val="22"/>
          <w:szCs w:val="22"/>
          <w:shd w:val="clear" w:color="auto" w:fill="FFFFFF"/>
          <w:lang w:eastAsia="en-US"/>
        </w:rPr>
      </w:pPr>
    </w:p>
    <w:p w14:paraId="2A414DA4" w14:textId="54418ED9" w:rsidR="006E4C83" w:rsidRPr="00BB0C21" w:rsidRDefault="006E4C83" w:rsidP="006E4C83">
      <w:pPr>
        <w:spacing w:after="160"/>
        <w:rPr>
          <w:rFonts w:ascii="Trebuchet MS" w:eastAsia="Calibri" w:hAnsi="Trebuchet MS" w:cs="Calibri"/>
          <w:b/>
          <w:bCs/>
          <w:color w:val="ED7D31" w:themeColor="accent2"/>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 xml:space="preserve">‘The Exodus was not a movement from slavery to freedom, but from slavery to covenant. Redemption was for relationship with the redeemer, to serve his interests and his purposes in the world.’ </w:t>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r>
      <w:r>
        <w:rPr>
          <w:rFonts w:ascii="Trebuchet MS" w:eastAsia="Calibri" w:hAnsi="Trebuchet MS" w:cs="Calibri"/>
          <w:color w:val="181818"/>
          <w:sz w:val="22"/>
          <w:szCs w:val="22"/>
          <w:shd w:val="clear" w:color="auto" w:fill="FFFFFF"/>
          <w:lang w:eastAsia="en-US"/>
        </w:rPr>
        <w:tab/>
        <w:t xml:space="preserve">  </w:t>
      </w:r>
      <w:r w:rsidRPr="00BB0C21">
        <w:rPr>
          <w:rFonts w:ascii="Trebuchet MS" w:eastAsia="Calibri" w:hAnsi="Trebuchet MS" w:cs="Calibri"/>
          <w:color w:val="ED7D31" w:themeColor="accent2"/>
          <w:sz w:val="22"/>
          <w:szCs w:val="22"/>
          <w:shd w:val="clear" w:color="auto" w:fill="FFFFFF"/>
          <w:lang w:eastAsia="en-US"/>
        </w:rPr>
        <w:t xml:space="preserve">      </w:t>
      </w:r>
      <w:r w:rsidRPr="00BB0C21">
        <w:rPr>
          <w:rFonts w:ascii="Trebuchet MS" w:eastAsia="Calibri" w:hAnsi="Trebuchet MS" w:cs="Calibri"/>
          <w:b/>
          <w:bCs/>
          <w:color w:val="ED7D31" w:themeColor="accent2"/>
          <w:sz w:val="22"/>
          <w:szCs w:val="22"/>
          <w:shd w:val="clear" w:color="auto" w:fill="FFFFFF"/>
          <w:lang w:eastAsia="en-US"/>
        </w:rPr>
        <w:t>Christopher Wright</w:t>
      </w:r>
    </w:p>
    <w:p w14:paraId="264C5350" w14:textId="4D027375" w:rsidR="006E4C83" w:rsidRPr="00BB0C21" w:rsidRDefault="006E4C83" w:rsidP="006E4C83">
      <w:pPr>
        <w:spacing w:after="160"/>
        <w:rPr>
          <w:rFonts w:ascii="Trebuchet MS" w:eastAsia="Calibri" w:hAnsi="Trebuchet MS" w:cs="Calibri"/>
          <w:color w:val="ED7D31" w:themeColor="accent2"/>
          <w:sz w:val="22"/>
          <w:szCs w:val="22"/>
          <w:shd w:val="clear" w:color="auto" w:fill="FFFFFF"/>
          <w:lang w:eastAsia="en-US"/>
        </w:rPr>
      </w:pPr>
      <w:r w:rsidRPr="00BB0C21">
        <w:rPr>
          <w:rFonts w:ascii="Trebuchet MS" w:eastAsia="Calibri" w:hAnsi="Trebuchet MS" w:cs="Calibri"/>
          <w:color w:val="ED7D31" w:themeColor="accent2"/>
          <w:sz w:val="22"/>
          <w:szCs w:val="22"/>
          <w:shd w:val="clear" w:color="auto" w:fill="FFFFFF"/>
          <w:lang w:eastAsia="en-US"/>
        </w:rPr>
        <w:t xml:space="preserve"> </w:t>
      </w:r>
    </w:p>
    <w:p w14:paraId="72143DCC" w14:textId="77777777" w:rsidR="006E4C83" w:rsidRPr="006E4C83" w:rsidRDefault="006E4C83" w:rsidP="006E4C83">
      <w:pPr>
        <w:spacing w:after="160"/>
        <w:rPr>
          <w:rFonts w:ascii="Trebuchet MS" w:eastAsia="Calibri" w:hAnsi="Trebuchet MS" w:cs="Calibri"/>
          <w:color w:val="181818"/>
          <w:sz w:val="22"/>
          <w:szCs w:val="22"/>
          <w:shd w:val="clear" w:color="auto" w:fill="FFFFFF"/>
          <w:lang w:eastAsia="en-US"/>
        </w:rPr>
      </w:pPr>
    </w:p>
    <w:p w14:paraId="73EDE731" w14:textId="77777777" w:rsidR="006E4C83" w:rsidRDefault="006E4C83" w:rsidP="006E4C83">
      <w:pPr>
        <w:spacing w:after="160"/>
        <w:rPr>
          <w:rFonts w:ascii="Trebuchet MS" w:eastAsia="Calibri" w:hAnsi="Trebuchet MS" w:cs="Calibri"/>
          <w:color w:val="181818"/>
          <w:sz w:val="22"/>
          <w:szCs w:val="22"/>
          <w:shd w:val="clear" w:color="auto" w:fill="FFFFFF"/>
          <w:lang w:eastAsia="en-US"/>
        </w:rPr>
      </w:pPr>
    </w:p>
    <w:p w14:paraId="76388D51" w14:textId="77777777" w:rsidR="006E4C83" w:rsidRDefault="006E4C83" w:rsidP="006E4C83">
      <w:pPr>
        <w:spacing w:after="160"/>
        <w:rPr>
          <w:rFonts w:ascii="Trebuchet MS" w:eastAsia="Calibri" w:hAnsi="Trebuchet MS" w:cs="Calibri"/>
          <w:color w:val="181818"/>
          <w:sz w:val="22"/>
          <w:szCs w:val="22"/>
          <w:shd w:val="clear" w:color="auto" w:fill="FFFFFF"/>
          <w:lang w:eastAsia="en-US"/>
        </w:rPr>
      </w:pPr>
    </w:p>
    <w:p w14:paraId="5924E985" w14:textId="08CB318C" w:rsidR="006E4C83" w:rsidRPr="00E31C7D" w:rsidRDefault="006E4C83" w:rsidP="006E4C83">
      <w:pPr>
        <w:spacing w:after="160"/>
        <w:rPr>
          <w:rFonts w:ascii="Trebuchet MS" w:eastAsia="Calibri" w:hAnsi="Trebuchet MS" w:cs="Calibri"/>
          <w:b/>
          <w:bCs/>
          <w:color w:val="ED7D31" w:themeColor="accent2"/>
          <w:sz w:val="22"/>
          <w:szCs w:val="22"/>
          <w:shd w:val="clear" w:color="auto" w:fill="FFFFFF"/>
          <w:lang w:eastAsia="en-US"/>
        </w:rPr>
      </w:pPr>
      <w:r w:rsidRPr="006E4C83">
        <w:rPr>
          <w:rFonts w:ascii="Trebuchet MS" w:eastAsia="Calibri" w:hAnsi="Trebuchet MS" w:cs="Calibri"/>
          <w:color w:val="181818"/>
          <w:sz w:val="22"/>
          <w:szCs w:val="22"/>
          <w:shd w:val="clear" w:color="auto" w:fill="FFFFFF"/>
          <w:lang w:eastAsia="en-US"/>
        </w:rPr>
        <w:t>‘The Covenant of Grace is that eternal and intimate bond of friendship that God has established with his people in the Lord Jesus Christ; in which he is their sovereign friend and they are his servant friends; and in which God gives to them a communion of life with him and a sovereignly dictated order of life.’</w:t>
      </w:r>
      <w:r w:rsidRPr="006E4C83">
        <w:rPr>
          <w:rFonts w:ascii="Trebuchet MS" w:eastAsia="Calibri" w:hAnsi="Trebuchet MS" w:cs="Calibri"/>
          <w:color w:val="181818"/>
          <w:sz w:val="22"/>
          <w:szCs w:val="22"/>
          <w:lang w:eastAsia="en-US"/>
        </w:rPr>
        <w:t xml:space="preserve"> </w:t>
      </w:r>
      <w:r>
        <w:rPr>
          <w:rFonts w:ascii="Trebuchet MS" w:eastAsia="Calibri" w:hAnsi="Trebuchet MS" w:cs="Calibri"/>
          <w:color w:val="181818"/>
          <w:sz w:val="22"/>
          <w:szCs w:val="22"/>
          <w:lang w:eastAsia="en-US"/>
        </w:rPr>
        <w:tab/>
      </w:r>
      <w:r>
        <w:rPr>
          <w:rFonts w:ascii="Trebuchet MS" w:eastAsia="Calibri" w:hAnsi="Trebuchet MS" w:cs="Calibri"/>
          <w:color w:val="181818"/>
          <w:sz w:val="22"/>
          <w:szCs w:val="22"/>
          <w:lang w:eastAsia="en-US"/>
        </w:rPr>
        <w:tab/>
      </w:r>
      <w:r>
        <w:rPr>
          <w:rFonts w:ascii="Trebuchet MS" w:eastAsia="Calibri" w:hAnsi="Trebuchet MS" w:cs="Calibri"/>
          <w:color w:val="181818"/>
          <w:sz w:val="22"/>
          <w:szCs w:val="22"/>
          <w:lang w:eastAsia="en-US"/>
        </w:rPr>
        <w:tab/>
      </w:r>
      <w:r>
        <w:rPr>
          <w:rFonts w:ascii="Trebuchet MS" w:eastAsia="Calibri" w:hAnsi="Trebuchet MS" w:cs="Calibri"/>
          <w:color w:val="181818"/>
          <w:sz w:val="22"/>
          <w:szCs w:val="22"/>
          <w:lang w:eastAsia="en-US"/>
        </w:rPr>
        <w:tab/>
      </w:r>
      <w:r w:rsidRPr="00E31C7D">
        <w:rPr>
          <w:rFonts w:ascii="Trebuchet MS" w:eastAsia="Calibri" w:hAnsi="Trebuchet MS" w:cs="Calibri"/>
          <w:b/>
          <w:bCs/>
          <w:color w:val="ED7D31" w:themeColor="accent2"/>
          <w:sz w:val="22"/>
          <w:szCs w:val="22"/>
          <w:shd w:val="clear" w:color="auto" w:fill="FFFFFF"/>
          <w:lang w:eastAsia="en-US"/>
        </w:rPr>
        <w:t xml:space="preserve">Joe </w:t>
      </w:r>
      <w:proofErr w:type="spellStart"/>
      <w:r w:rsidRPr="00E31C7D">
        <w:rPr>
          <w:rFonts w:ascii="Trebuchet MS" w:eastAsia="Calibri" w:hAnsi="Trebuchet MS" w:cs="Calibri"/>
          <w:b/>
          <w:bCs/>
          <w:color w:val="ED7D31" w:themeColor="accent2"/>
          <w:sz w:val="22"/>
          <w:szCs w:val="22"/>
          <w:shd w:val="clear" w:color="auto" w:fill="FFFFFF"/>
          <w:lang w:eastAsia="en-US"/>
        </w:rPr>
        <w:t>Morecraft</w:t>
      </w:r>
      <w:proofErr w:type="spellEnd"/>
      <w:r w:rsidRPr="00E31C7D">
        <w:rPr>
          <w:rFonts w:ascii="Trebuchet MS" w:eastAsia="Calibri" w:hAnsi="Trebuchet MS" w:cs="Calibri"/>
          <w:b/>
          <w:bCs/>
          <w:color w:val="ED7D31" w:themeColor="accent2"/>
          <w:sz w:val="22"/>
          <w:szCs w:val="22"/>
          <w:shd w:val="clear" w:color="auto" w:fill="FFFFFF"/>
          <w:lang w:eastAsia="en-US"/>
        </w:rPr>
        <w:t xml:space="preserve"> III</w:t>
      </w:r>
    </w:p>
    <w:p w14:paraId="446941D1" w14:textId="77777777" w:rsidR="006E4C83" w:rsidRPr="006E4C83" w:rsidRDefault="006E4C83" w:rsidP="006E4C83">
      <w:pPr>
        <w:spacing w:after="160"/>
        <w:rPr>
          <w:rFonts w:ascii="Trebuchet MS" w:eastAsia="Calibri" w:hAnsi="Trebuchet MS" w:cs="Calibri"/>
          <w:b/>
          <w:bCs/>
          <w:color w:val="333333"/>
          <w:sz w:val="22"/>
          <w:szCs w:val="22"/>
          <w:shd w:val="clear" w:color="auto" w:fill="FFFFFF"/>
          <w:lang w:eastAsia="en-US"/>
        </w:rPr>
      </w:pPr>
    </w:p>
    <w:p w14:paraId="6ADBEFFB" w14:textId="040F87C5" w:rsidR="006E4C83" w:rsidRPr="00E31C7D" w:rsidRDefault="006E4C83" w:rsidP="006E4C83">
      <w:pPr>
        <w:spacing w:after="160"/>
        <w:rPr>
          <w:rFonts w:ascii="Trebuchet MS" w:eastAsia="Calibri" w:hAnsi="Trebuchet MS" w:cs="Calibri"/>
          <w:b/>
          <w:bCs/>
          <w:color w:val="ED7D31" w:themeColor="accent2"/>
          <w:sz w:val="22"/>
          <w:szCs w:val="22"/>
          <w:shd w:val="clear" w:color="auto" w:fill="FFFFFF"/>
          <w:lang w:eastAsia="en-US"/>
        </w:rPr>
      </w:pPr>
      <w:r w:rsidRPr="006E4C83">
        <w:rPr>
          <w:rFonts w:ascii="Trebuchet MS" w:eastAsia="Calibri" w:hAnsi="Trebuchet MS" w:cs="Calibri"/>
          <w:color w:val="333333"/>
          <w:sz w:val="22"/>
          <w:szCs w:val="22"/>
          <w:shd w:val="clear" w:color="auto" w:fill="FFFFFF"/>
          <w:lang w:eastAsia="en-US"/>
        </w:rPr>
        <w:t>‘God doesn’t want us to have rigid rituals with him. In the New Covenant he is more interested in having a relationship with us.’</w:t>
      </w:r>
      <w:r w:rsidRPr="006E4C83">
        <w:rPr>
          <w:rFonts w:ascii="Trebuchet MS" w:eastAsia="Calibri" w:hAnsi="Trebuchet MS" w:cs="Calibri"/>
          <w:b/>
          <w:bCs/>
          <w:color w:val="333333"/>
          <w:sz w:val="22"/>
          <w:szCs w:val="22"/>
          <w:shd w:val="clear" w:color="auto" w:fill="FFFFFF"/>
          <w:lang w:eastAsia="en-US"/>
        </w:rPr>
        <w:t xml:space="preserve"> </w:t>
      </w:r>
      <w:r>
        <w:rPr>
          <w:rFonts w:ascii="Trebuchet MS" w:eastAsia="Calibri" w:hAnsi="Trebuchet MS" w:cs="Calibri"/>
          <w:b/>
          <w:bCs/>
          <w:color w:val="333333"/>
          <w:sz w:val="22"/>
          <w:szCs w:val="22"/>
          <w:shd w:val="clear" w:color="auto" w:fill="FFFFFF"/>
          <w:lang w:eastAsia="en-US"/>
        </w:rPr>
        <w:tab/>
      </w:r>
      <w:r>
        <w:rPr>
          <w:rFonts w:ascii="Trebuchet MS" w:eastAsia="Calibri" w:hAnsi="Trebuchet MS" w:cs="Calibri"/>
          <w:b/>
          <w:bCs/>
          <w:color w:val="333333"/>
          <w:sz w:val="22"/>
          <w:szCs w:val="22"/>
          <w:shd w:val="clear" w:color="auto" w:fill="FFFFFF"/>
          <w:lang w:eastAsia="en-US"/>
        </w:rPr>
        <w:tab/>
      </w:r>
      <w:r>
        <w:rPr>
          <w:rFonts w:ascii="Trebuchet MS" w:eastAsia="Calibri" w:hAnsi="Trebuchet MS" w:cs="Calibri"/>
          <w:b/>
          <w:bCs/>
          <w:color w:val="333333"/>
          <w:sz w:val="22"/>
          <w:szCs w:val="22"/>
          <w:shd w:val="clear" w:color="auto" w:fill="FFFFFF"/>
          <w:lang w:eastAsia="en-US"/>
        </w:rPr>
        <w:tab/>
      </w:r>
      <w:r>
        <w:rPr>
          <w:rFonts w:ascii="Trebuchet MS" w:eastAsia="Calibri" w:hAnsi="Trebuchet MS" w:cs="Calibri"/>
          <w:b/>
          <w:bCs/>
          <w:color w:val="333333"/>
          <w:sz w:val="22"/>
          <w:szCs w:val="22"/>
          <w:shd w:val="clear" w:color="auto" w:fill="FFFFFF"/>
          <w:lang w:eastAsia="en-US"/>
        </w:rPr>
        <w:tab/>
      </w:r>
      <w:r w:rsidRPr="00E31C7D">
        <w:rPr>
          <w:rFonts w:ascii="Trebuchet MS" w:eastAsia="Calibri" w:hAnsi="Trebuchet MS" w:cs="Calibri"/>
          <w:b/>
          <w:bCs/>
          <w:color w:val="ED7D31" w:themeColor="accent2"/>
          <w:sz w:val="22"/>
          <w:szCs w:val="22"/>
          <w:shd w:val="clear" w:color="auto" w:fill="FFFFFF"/>
          <w:lang w:eastAsia="en-US"/>
        </w:rPr>
        <w:t>Joseph Prince</w:t>
      </w:r>
    </w:p>
    <w:p w14:paraId="752462C2" w14:textId="77777777" w:rsidR="006E4C83" w:rsidRPr="006E4C83" w:rsidRDefault="006E4C83" w:rsidP="006E4C83">
      <w:pPr>
        <w:spacing w:after="160"/>
        <w:rPr>
          <w:rFonts w:ascii="Trebuchet MS" w:eastAsia="Calibri" w:hAnsi="Trebuchet MS" w:cs="Calibri"/>
          <w:b/>
          <w:bCs/>
          <w:color w:val="333333"/>
          <w:sz w:val="22"/>
          <w:szCs w:val="22"/>
          <w:shd w:val="clear" w:color="auto" w:fill="FFFFFF"/>
          <w:lang w:eastAsia="en-US"/>
        </w:rPr>
      </w:pPr>
    </w:p>
    <w:p w14:paraId="172D94DF" w14:textId="321EEA78" w:rsidR="006E4C83" w:rsidRPr="00E31C7D" w:rsidRDefault="006E4C83" w:rsidP="006E4C83">
      <w:pPr>
        <w:spacing w:after="160"/>
        <w:rPr>
          <w:rFonts w:ascii="Trebuchet MS" w:eastAsia="Calibri" w:hAnsi="Trebuchet MS" w:cs="Calibri"/>
          <w:b/>
          <w:bCs/>
          <w:color w:val="ED7D31" w:themeColor="accent2"/>
          <w:sz w:val="22"/>
          <w:szCs w:val="22"/>
          <w:shd w:val="clear" w:color="auto" w:fill="FFFFFF"/>
          <w:lang w:eastAsia="en-US"/>
        </w:rPr>
      </w:pPr>
      <w:r w:rsidRPr="006E4C83">
        <w:rPr>
          <w:rFonts w:ascii="Trebuchet MS" w:eastAsia="Calibri" w:hAnsi="Trebuchet MS" w:cs="Calibri"/>
          <w:color w:val="333333"/>
          <w:sz w:val="22"/>
          <w:szCs w:val="22"/>
          <w:shd w:val="clear" w:color="auto" w:fill="FFFFFF"/>
          <w:lang w:eastAsia="en-US"/>
        </w:rPr>
        <w:t xml:space="preserve">‘Marriage has a unique place because it speaks of an absolute faithfulness, a covenant between radically different persons; and </w:t>
      </w:r>
      <w:proofErr w:type="gramStart"/>
      <w:r w:rsidRPr="006E4C83">
        <w:rPr>
          <w:rFonts w:ascii="Trebuchet MS" w:eastAsia="Calibri" w:hAnsi="Trebuchet MS" w:cs="Calibri"/>
          <w:color w:val="333333"/>
          <w:sz w:val="22"/>
          <w:szCs w:val="22"/>
          <w:shd w:val="clear" w:color="auto" w:fill="FFFFFF"/>
          <w:lang w:eastAsia="en-US"/>
        </w:rPr>
        <w:t>so</w:t>
      </w:r>
      <w:proofErr w:type="gramEnd"/>
      <w:r w:rsidRPr="006E4C83">
        <w:rPr>
          <w:rFonts w:ascii="Trebuchet MS" w:eastAsia="Calibri" w:hAnsi="Trebuchet MS" w:cs="Calibri"/>
          <w:color w:val="333333"/>
          <w:sz w:val="22"/>
          <w:szCs w:val="22"/>
          <w:shd w:val="clear" w:color="auto" w:fill="FFFFFF"/>
          <w:lang w:eastAsia="en-US"/>
        </w:rPr>
        <w:t xml:space="preserve"> it echoes the absolute covenant of God with his chosen, a covenant between radically different partners.’ </w:t>
      </w:r>
      <w:r>
        <w:rPr>
          <w:rFonts w:ascii="Trebuchet MS" w:eastAsia="Calibri" w:hAnsi="Trebuchet MS" w:cs="Calibri"/>
          <w:color w:val="333333"/>
          <w:sz w:val="22"/>
          <w:szCs w:val="22"/>
          <w:shd w:val="clear" w:color="auto" w:fill="FFFFFF"/>
          <w:lang w:eastAsia="en-US"/>
        </w:rPr>
        <w:tab/>
      </w:r>
      <w:bookmarkStart w:id="1" w:name="_GoBack"/>
      <w:r w:rsidRPr="00E31C7D">
        <w:rPr>
          <w:rFonts w:ascii="Trebuchet MS" w:eastAsia="Calibri" w:hAnsi="Trebuchet MS" w:cs="Calibri"/>
          <w:color w:val="ED7D31" w:themeColor="accent2"/>
          <w:sz w:val="22"/>
          <w:szCs w:val="22"/>
          <w:shd w:val="clear" w:color="auto" w:fill="FFFFFF"/>
          <w:lang w:eastAsia="en-US"/>
        </w:rPr>
        <w:tab/>
      </w:r>
      <w:r w:rsidRPr="00E31C7D">
        <w:rPr>
          <w:rFonts w:ascii="Trebuchet MS" w:eastAsia="Calibri" w:hAnsi="Trebuchet MS" w:cs="Calibri"/>
          <w:b/>
          <w:bCs/>
          <w:color w:val="ED7D31" w:themeColor="accent2"/>
          <w:sz w:val="22"/>
          <w:szCs w:val="22"/>
          <w:shd w:val="clear" w:color="auto" w:fill="FFFFFF"/>
          <w:lang w:eastAsia="en-US"/>
        </w:rPr>
        <w:t>Rowan Williams</w:t>
      </w:r>
    </w:p>
    <w:bookmarkEnd w:id="1"/>
    <w:p w14:paraId="44601D79" w14:textId="09CF8370" w:rsidR="005B41BB" w:rsidRPr="00E31C7D" w:rsidRDefault="005B41BB" w:rsidP="00C6073B">
      <w:pPr>
        <w:rPr>
          <w:color w:val="ED7D31" w:themeColor="accent2"/>
        </w:rPr>
      </w:pPr>
    </w:p>
    <w:sectPr w:rsidR="005B41BB" w:rsidRPr="00E31C7D" w:rsidSect="007E5233">
      <w:headerReference w:type="default" r:id="rId7"/>
      <w:footerReference w:type="even" r:id="rId8"/>
      <w:footerReference w:type="default" r:id="rId9"/>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B35B" w14:textId="77777777" w:rsidR="004E3D12" w:rsidRDefault="004E3D12" w:rsidP="0064652C">
      <w:r>
        <w:separator/>
      </w:r>
    </w:p>
  </w:endnote>
  <w:endnote w:type="continuationSeparator" w:id="0">
    <w:p w14:paraId="115B5B76" w14:textId="77777777" w:rsidR="004E3D12" w:rsidRDefault="004E3D12"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275E" w14:textId="77777777" w:rsidR="004E3D12" w:rsidRDefault="004E3D12" w:rsidP="0064652C">
      <w:r>
        <w:separator/>
      </w:r>
    </w:p>
  </w:footnote>
  <w:footnote w:type="continuationSeparator" w:id="0">
    <w:p w14:paraId="5EB72531" w14:textId="77777777" w:rsidR="004E3D12" w:rsidRDefault="004E3D12"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114F09"/>
    <w:rsid w:val="00231667"/>
    <w:rsid w:val="0027581F"/>
    <w:rsid w:val="002B460D"/>
    <w:rsid w:val="00343CC3"/>
    <w:rsid w:val="004A185C"/>
    <w:rsid w:val="004E3D12"/>
    <w:rsid w:val="005B41BB"/>
    <w:rsid w:val="005C31E1"/>
    <w:rsid w:val="00635EFB"/>
    <w:rsid w:val="0064652C"/>
    <w:rsid w:val="006E4C83"/>
    <w:rsid w:val="007E5233"/>
    <w:rsid w:val="00931CF7"/>
    <w:rsid w:val="009A41C7"/>
    <w:rsid w:val="00A20995"/>
    <w:rsid w:val="00A57018"/>
    <w:rsid w:val="00BB0C21"/>
    <w:rsid w:val="00BB5D28"/>
    <w:rsid w:val="00BC65CC"/>
    <w:rsid w:val="00C6073B"/>
    <w:rsid w:val="00CF1080"/>
    <w:rsid w:val="00E01F93"/>
    <w:rsid w:val="00E31C7D"/>
    <w:rsid w:val="00E85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4BBE3A-6641-40F7-A378-039584B0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5</cp:revision>
  <dcterms:created xsi:type="dcterms:W3CDTF">2020-11-16T14:32:00Z</dcterms:created>
  <dcterms:modified xsi:type="dcterms:W3CDTF">2020-11-19T15:20:00Z</dcterms:modified>
</cp:coreProperties>
</file>