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2C7F" w14:textId="759BB2B3" w:rsidR="0064652C" w:rsidRPr="00DF00B4" w:rsidRDefault="0064652C" w:rsidP="00A21829">
      <w:pPr>
        <w:pStyle w:val="Titles"/>
        <w:jc w:val="center"/>
      </w:pPr>
      <w:r w:rsidRPr="0080000F">
        <w:t>T</w:t>
      </w:r>
      <w:r w:rsidR="00514564" w:rsidRPr="0080000F">
        <w:t xml:space="preserve">eaching </w:t>
      </w:r>
      <w:r w:rsidR="006D0851">
        <w:t>Starter</w:t>
      </w:r>
    </w:p>
    <w:p w14:paraId="6D4F4BF5" w14:textId="77777777" w:rsidR="006D0851" w:rsidRDefault="006D0851" w:rsidP="006D0851">
      <w:pPr>
        <w:pStyle w:val="Headings"/>
        <w:rPr>
          <w:rStyle w:val="normaltextrun"/>
        </w:rPr>
      </w:pPr>
    </w:p>
    <w:p w14:paraId="2B0FB13B" w14:textId="57D8B4FB" w:rsidR="006D0851" w:rsidRPr="00A21829" w:rsidRDefault="006D0851" w:rsidP="006D0851">
      <w:pPr>
        <w:pStyle w:val="Headings"/>
        <w:rPr>
          <w:rStyle w:val="normaltextrun"/>
          <w:rFonts w:cstheme="minorHAnsi"/>
          <w:b w:val="0"/>
          <w:bCs/>
          <w:color w:val="auto"/>
          <w:sz w:val="24"/>
          <w:szCs w:val="24"/>
        </w:rPr>
      </w:pPr>
      <w:r>
        <w:rPr>
          <w:rStyle w:val="normaltextrun"/>
        </w:rPr>
        <w:t xml:space="preserve">Scripture: </w:t>
      </w:r>
      <w:r w:rsidRPr="00A21829">
        <w:rPr>
          <w:rStyle w:val="normaltextrun"/>
          <w:b w:val="0"/>
          <w:bCs/>
          <w:color w:val="auto"/>
          <w:sz w:val="24"/>
          <w:szCs w:val="24"/>
        </w:rPr>
        <w:t>John 10:1-18</w:t>
      </w:r>
    </w:p>
    <w:p w14:paraId="1B4F6A92" w14:textId="0A7BC6B6" w:rsidR="003361AA" w:rsidRPr="00A21829" w:rsidRDefault="00514564" w:rsidP="006D0851">
      <w:pPr>
        <w:pStyle w:val="Headings"/>
        <w:rPr>
          <w:b w:val="0"/>
          <w:sz w:val="24"/>
          <w:szCs w:val="24"/>
        </w:rPr>
      </w:pPr>
      <w:r w:rsidRPr="00514564">
        <w:rPr>
          <w:rStyle w:val="normaltextrun"/>
        </w:rPr>
        <w:t xml:space="preserve">Key </w:t>
      </w:r>
      <w:r w:rsidR="006D0851">
        <w:rPr>
          <w:rStyle w:val="normaltextrun"/>
        </w:rPr>
        <w:t>Verse</w:t>
      </w:r>
      <w:r>
        <w:rPr>
          <w:rStyle w:val="normaltextrun"/>
        </w:rPr>
        <w:t xml:space="preserve">: </w:t>
      </w:r>
      <w:r w:rsidR="006D0851" w:rsidRPr="00A21829">
        <w:rPr>
          <w:rStyle w:val="normaltextrun"/>
          <w:b w:val="0"/>
          <w:bCs/>
          <w:color w:val="auto"/>
          <w:sz w:val="24"/>
          <w:szCs w:val="24"/>
        </w:rPr>
        <w:t xml:space="preserve">‘The thief comes only to steal and kill and destroy; I have come that they may have </w:t>
      </w:r>
      <w:proofErr w:type="gramStart"/>
      <w:r w:rsidR="006D0851" w:rsidRPr="00A21829">
        <w:rPr>
          <w:rStyle w:val="normaltextrun"/>
          <w:b w:val="0"/>
          <w:bCs/>
          <w:color w:val="auto"/>
          <w:sz w:val="24"/>
          <w:szCs w:val="24"/>
        </w:rPr>
        <w:t>life, and</w:t>
      </w:r>
      <w:proofErr w:type="gramEnd"/>
      <w:r w:rsidR="006D0851" w:rsidRPr="00A21829">
        <w:rPr>
          <w:rStyle w:val="normaltextrun"/>
          <w:b w:val="0"/>
          <w:bCs/>
          <w:color w:val="auto"/>
          <w:sz w:val="24"/>
          <w:szCs w:val="24"/>
        </w:rPr>
        <w:t xml:space="preserve"> have it to the full’ (John 10:10).</w:t>
      </w:r>
    </w:p>
    <w:p w14:paraId="3F1AF6F5" w14:textId="77777777" w:rsidR="006D0851" w:rsidRDefault="006D0851" w:rsidP="000410F9">
      <w:pPr>
        <w:pStyle w:val="Headings"/>
        <w:rPr>
          <w:sz w:val="24"/>
        </w:rPr>
      </w:pPr>
    </w:p>
    <w:p w14:paraId="638F10B1" w14:textId="4982EF16" w:rsidR="00503865" w:rsidRDefault="007B4589" w:rsidP="000410F9">
      <w:pPr>
        <w:pStyle w:val="Headings"/>
        <w:rPr>
          <w:sz w:val="24"/>
        </w:rPr>
      </w:pPr>
      <w:r w:rsidRPr="000410F9">
        <w:rPr>
          <w:sz w:val="24"/>
        </w:rPr>
        <w:t>Introduction</w:t>
      </w:r>
    </w:p>
    <w:p w14:paraId="6535AAB0" w14:textId="77777777" w:rsidR="006D0851" w:rsidRPr="00217FAF" w:rsidRDefault="006D0851" w:rsidP="006D0851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sz w:val="22"/>
          <w:szCs w:val="22"/>
        </w:rPr>
      </w:pPr>
      <w:r w:rsidRPr="00E01AB0">
        <w:rPr>
          <w:rFonts w:ascii="Trebuchet MS" w:hAnsi="Trebuchet MS"/>
          <w:sz w:val="22"/>
          <w:szCs w:val="22"/>
        </w:rPr>
        <w:t>This Covenant Sunday we reflect on and celebrat</w:t>
      </w:r>
      <w:r>
        <w:rPr>
          <w:rFonts w:ascii="Trebuchet MS" w:hAnsi="Trebuchet MS"/>
          <w:sz w:val="22"/>
          <w:szCs w:val="22"/>
        </w:rPr>
        <w:t>e</w:t>
      </w:r>
      <w:r w:rsidRPr="00217FAF">
        <w:rPr>
          <w:rFonts w:ascii="Trebuchet MS" w:hAnsi="Trebuchet MS"/>
          <w:sz w:val="22"/>
          <w:szCs w:val="22"/>
        </w:rPr>
        <w:t xml:space="preserve"> together</w:t>
      </w:r>
      <w:r w:rsidRPr="00E01AB0">
        <w:rPr>
          <w:rFonts w:ascii="Trebuchet MS" w:hAnsi="Trebuchet MS"/>
          <w:sz w:val="22"/>
          <w:szCs w:val="22"/>
        </w:rPr>
        <w:t xml:space="preserve"> the promise of Jesus for a life </w:t>
      </w:r>
      <w:r>
        <w:rPr>
          <w:rFonts w:ascii="Trebuchet MS" w:hAnsi="Trebuchet MS"/>
          <w:sz w:val="22"/>
          <w:szCs w:val="22"/>
        </w:rPr>
        <w:t>that can be lived ‘</w:t>
      </w:r>
      <w:r w:rsidRPr="00E01AB0">
        <w:rPr>
          <w:rFonts w:ascii="Trebuchet MS" w:hAnsi="Trebuchet MS"/>
          <w:sz w:val="22"/>
          <w:szCs w:val="22"/>
        </w:rPr>
        <w:t>to the full’</w:t>
      </w:r>
      <w:r>
        <w:rPr>
          <w:rFonts w:ascii="Trebuchet MS" w:hAnsi="Trebuchet MS"/>
          <w:sz w:val="22"/>
          <w:szCs w:val="22"/>
        </w:rPr>
        <w:t xml:space="preserve"> –</w:t>
      </w:r>
      <w:r w:rsidRPr="00E01AB0">
        <w:rPr>
          <w:rFonts w:ascii="Trebuchet MS" w:hAnsi="Trebuchet MS"/>
          <w:sz w:val="22"/>
          <w:szCs w:val="22"/>
        </w:rPr>
        <w:t xml:space="preserve"> or as other translations put it, ‘life in abundance’, which is overflowing</w:t>
      </w:r>
      <w:r w:rsidRPr="00217FAF">
        <w:rPr>
          <w:rFonts w:ascii="Trebuchet MS" w:hAnsi="Trebuchet MS"/>
          <w:sz w:val="22"/>
          <w:szCs w:val="22"/>
        </w:rPr>
        <w:t xml:space="preserve"> and</w:t>
      </w:r>
      <w:r w:rsidRPr="00E01AB0">
        <w:rPr>
          <w:rFonts w:ascii="Trebuchet MS" w:hAnsi="Trebuchet MS"/>
          <w:sz w:val="22"/>
          <w:szCs w:val="22"/>
        </w:rPr>
        <w:t xml:space="preserve"> bursting out into the world in surprising and exciting ways. </w:t>
      </w:r>
    </w:p>
    <w:p w14:paraId="56E21F5E" w14:textId="77777777" w:rsidR="006D0851" w:rsidRPr="00E01AB0" w:rsidRDefault="006D0851" w:rsidP="006D0851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sz w:val="22"/>
          <w:szCs w:val="22"/>
        </w:rPr>
      </w:pPr>
      <w:r w:rsidRPr="00E01AB0">
        <w:rPr>
          <w:rFonts w:ascii="Trebuchet MS" w:hAnsi="Trebuchet MS"/>
          <w:sz w:val="22"/>
          <w:szCs w:val="22"/>
        </w:rPr>
        <w:t xml:space="preserve">At the heart of </w:t>
      </w:r>
      <w:r w:rsidRPr="00217FAF">
        <w:rPr>
          <w:rFonts w:ascii="Trebuchet MS" w:hAnsi="Trebuchet MS"/>
          <w:sz w:val="22"/>
          <w:szCs w:val="22"/>
        </w:rPr>
        <w:t xml:space="preserve">the </w:t>
      </w:r>
      <w:r w:rsidRPr="00A9454E">
        <w:rPr>
          <w:rFonts w:ascii="Trebuchet MS" w:hAnsi="Trebuchet MS"/>
          <w:sz w:val="22"/>
          <w:szCs w:val="22"/>
        </w:rPr>
        <w:t xml:space="preserve">teaching is a verse of Scripture which is probably familiar to many and which forms the basis of our territorial </w:t>
      </w:r>
      <w:hyperlink r:id="rId11" w:history="1">
        <w:r w:rsidRPr="00A9454E">
          <w:rPr>
            <w:rStyle w:val="Hyperlink"/>
            <w:rFonts w:ascii="Trebuchet MS" w:hAnsi="Trebuchet MS"/>
            <w:color w:val="auto"/>
            <w:sz w:val="22"/>
            <w:szCs w:val="22"/>
          </w:rPr>
          <w:t>vision statement</w:t>
        </w:r>
      </w:hyperlink>
      <w:r w:rsidRPr="00A9454E">
        <w:rPr>
          <w:rFonts w:ascii="Trebuchet MS" w:hAnsi="Trebuchet MS"/>
          <w:sz w:val="22"/>
          <w:szCs w:val="22"/>
        </w:rPr>
        <w:t xml:space="preserve"> – the words of Jesus found in John’s Gospel which say, ‘I have come that they may have life, and have it to the</w:t>
      </w:r>
      <w:r w:rsidRPr="00E01AB0">
        <w:rPr>
          <w:rFonts w:ascii="Trebuchet MS" w:hAnsi="Trebuchet MS"/>
          <w:sz w:val="22"/>
          <w:szCs w:val="22"/>
        </w:rPr>
        <w:t xml:space="preserve"> full’ (John 10:10b). But what does that </w:t>
      </w:r>
      <w:proofErr w:type="gramStart"/>
      <w:r w:rsidRPr="00E01AB0">
        <w:rPr>
          <w:rFonts w:ascii="Trebuchet MS" w:hAnsi="Trebuchet MS"/>
          <w:sz w:val="22"/>
          <w:szCs w:val="22"/>
        </w:rPr>
        <w:t>actually mean</w:t>
      </w:r>
      <w:proofErr w:type="gramEnd"/>
      <w:r w:rsidRPr="00E01AB0">
        <w:rPr>
          <w:rFonts w:ascii="Trebuchet MS" w:hAnsi="Trebuchet MS"/>
          <w:sz w:val="22"/>
          <w:szCs w:val="22"/>
        </w:rPr>
        <w:t>? What does this abundant, full life look like</w:t>
      </w:r>
      <w:r w:rsidRPr="00217FAF">
        <w:rPr>
          <w:rFonts w:ascii="Trebuchet MS" w:hAnsi="Trebuchet MS"/>
          <w:sz w:val="22"/>
          <w:szCs w:val="22"/>
        </w:rPr>
        <w:t xml:space="preserve"> individually and corporately as a church community</w:t>
      </w:r>
      <w:r w:rsidRPr="00E01AB0">
        <w:rPr>
          <w:rFonts w:ascii="Trebuchet MS" w:hAnsi="Trebuchet MS"/>
          <w:sz w:val="22"/>
          <w:szCs w:val="22"/>
        </w:rPr>
        <w:t>? And how can we celebrate it together?</w:t>
      </w:r>
    </w:p>
    <w:p w14:paraId="2A785D08" w14:textId="77777777" w:rsidR="00503865" w:rsidRDefault="00503865" w:rsidP="006D0851">
      <w:pPr>
        <w:pStyle w:val="Headings"/>
        <w:rPr>
          <w:sz w:val="24"/>
        </w:rPr>
      </w:pPr>
    </w:p>
    <w:p w14:paraId="7B951A53" w14:textId="313A2CC9" w:rsidR="001819DC" w:rsidRDefault="006D0851" w:rsidP="000410F9">
      <w:pPr>
        <w:pStyle w:val="Headings"/>
        <w:rPr>
          <w:sz w:val="24"/>
        </w:rPr>
      </w:pPr>
      <w:r>
        <w:rPr>
          <w:sz w:val="24"/>
        </w:rPr>
        <w:t>Context</w:t>
      </w:r>
    </w:p>
    <w:p w14:paraId="3D42043D" w14:textId="77777777" w:rsidR="006D0851" w:rsidRPr="00217FAF" w:rsidRDefault="006D0851" w:rsidP="006D0851">
      <w:pPr>
        <w:pStyle w:val="ListParagraph"/>
        <w:numPr>
          <w:ilvl w:val="0"/>
          <w:numId w:val="16"/>
        </w:numPr>
        <w:ind w:left="720"/>
        <w:jc w:val="both"/>
        <w:rPr>
          <w:rFonts w:ascii="Trebuchet MS" w:hAnsi="Trebuchet MS"/>
          <w:sz w:val="22"/>
          <w:szCs w:val="22"/>
        </w:rPr>
      </w:pPr>
      <w:bookmarkStart w:id="0" w:name="_Hlk119075688"/>
      <w:r w:rsidRPr="00217FAF">
        <w:rPr>
          <w:rFonts w:ascii="Trebuchet MS" w:hAnsi="Trebuchet MS"/>
          <w:sz w:val="22"/>
          <w:szCs w:val="22"/>
        </w:rPr>
        <w:t>John 10:10 is a very familiar verse of Scripture and for good reason. Many commentators note how John 10:10 can ‘summarise’ the whole of John’s Gospel and the whole of Jesus’ ministry and mission.</w:t>
      </w:r>
      <w:r w:rsidRPr="00217FAF">
        <w:rPr>
          <w:rStyle w:val="FootnoteReference"/>
          <w:rFonts w:ascii="Trebuchet MS" w:hAnsi="Trebuchet MS"/>
          <w:sz w:val="22"/>
          <w:szCs w:val="22"/>
        </w:rPr>
        <w:footnoteReference w:id="2"/>
      </w:r>
      <w:r w:rsidRPr="00217FAF">
        <w:rPr>
          <w:rFonts w:ascii="Trebuchet MS" w:hAnsi="Trebuchet MS"/>
          <w:sz w:val="22"/>
          <w:szCs w:val="22"/>
        </w:rPr>
        <w:t xml:space="preserve"> </w:t>
      </w:r>
    </w:p>
    <w:p w14:paraId="28A979CB" w14:textId="77777777" w:rsidR="006D0851" w:rsidRPr="00217FAF" w:rsidRDefault="006D0851" w:rsidP="006D0851">
      <w:pPr>
        <w:pStyle w:val="ListParagraph"/>
        <w:numPr>
          <w:ilvl w:val="0"/>
          <w:numId w:val="16"/>
        </w:numPr>
        <w:ind w:left="720"/>
        <w:jc w:val="both"/>
        <w:rPr>
          <w:rFonts w:ascii="Trebuchet MS" w:hAnsi="Trebuchet MS"/>
          <w:sz w:val="22"/>
          <w:szCs w:val="22"/>
        </w:rPr>
      </w:pPr>
      <w:r w:rsidRPr="00217FAF">
        <w:rPr>
          <w:rFonts w:ascii="Trebuchet MS" w:hAnsi="Trebuchet MS"/>
          <w:sz w:val="22"/>
          <w:szCs w:val="22"/>
        </w:rPr>
        <w:t>As we explore our Christian identity as disciples through the lens of covenant, we remind ourselves that covenant is not just a contract or agreement, but at its deepest and richest it is saying</w:t>
      </w:r>
      <w:r>
        <w:rPr>
          <w:rFonts w:ascii="Trebuchet MS" w:hAnsi="Trebuchet MS"/>
          <w:sz w:val="22"/>
          <w:szCs w:val="22"/>
        </w:rPr>
        <w:t>,</w:t>
      </w:r>
      <w:r w:rsidRPr="00217FAF">
        <w:rPr>
          <w:rFonts w:ascii="Trebuchet MS" w:hAnsi="Trebuchet MS"/>
          <w:sz w:val="22"/>
          <w:szCs w:val="22"/>
        </w:rPr>
        <w:t xml:space="preserve"> ‘</w:t>
      </w:r>
      <w:r>
        <w:rPr>
          <w:rFonts w:ascii="Trebuchet MS" w:hAnsi="Trebuchet MS"/>
          <w:sz w:val="22"/>
          <w:szCs w:val="22"/>
        </w:rPr>
        <w:t>A</w:t>
      </w:r>
      <w:r w:rsidRPr="00217FAF">
        <w:rPr>
          <w:rFonts w:ascii="Trebuchet MS" w:hAnsi="Trebuchet MS"/>
          <w:sz w:val="22"/>
          <w:szCs w:val="22"/>
        </w:rPr>
        <w:t>ll I have is given to you and all you have is given to me</w:t>
      </w:r>
      <w:r>
        <w:rPr>
          <w:rFonts w:ascii="Trebuchet MS" w:hAnsi="Trebuchet MS"/>
          <w:sz w:val="22"/>
          <w:szCs w:val="22"/>
        </w:rPr>
        <w:t>.</w:t>
      </w:r>
      <w:r w:rsidRPr="00217FAF">
        <w:rPr>
          <w:rFonts w:ascii="Trebuchet MS" w:hAnsi="Trebuchet MS"/>
          <w:sz w:val="22"/>
          <w:szCs w:val="22"/>
        </w:rPr>
        <w:t>’</w:t>
      </w:r>
    </w:p>
    <w:p w14:paraId="08B22E3A" w14:textId="77777777" w:rsidR="006D0851" w:rsidRPr="00217FAF" w:rsidRDefault="006D0851" w:rsidP="006D0851">
      <w:pPr>
        <w:pStyle w:val="ListParagraph"/>
        <w:numPr>
          <w:ilvl w:val="0"/>
          <w:numId w:val="16"/>
        </w:numPr>
        <w:ind w:left="720"/>
        <w:jc w:val="both"/>
        <w:rPr>
          <w:rFonts w:ascii="Trebuchet MS" w:hAnsi="Trebuchet MS"/>
          <w:sz w:val="22"/>
          <w:szCs w:val="22"/>
        </w:rPr>
      </w:pPr>
      <w:r w:rsidRPr="00217FAF">
        <w:rPr>
          <w:rFonts w:ascii="Trebuchet MS" w:hAnsi="Trebuchet MS"/>
          <w:sz w:val="22"/>
          <w:szCs w:val="22"/>
        </w:rPr>
        <w:t>The ultimate exchange happened when Christ</w:t>
      </w:r>
      <w:r>
        <w:rPr>
          <w:rFonts w:ascii="Trebuchet MS" w:hAnsi="Trebuchet MS"/>
          <w:sz w:val="22"/>
          <w:szCs w:val="22"/>
        </w:rPr>
        <w:t>, in love,</w:t>
      </w:r>
      <w:r w:rsidRPr="00217FAF">
        <w:rPr>
          <w:rFonts w:ascii="Trebuchet MS" w:hAnsi="Trebuchet MS"/>
          <w:sz w:val="22"/>
          <w:szCs w:val="22"/>
        </w:rPr>
        <w:t xml:space="preserve"> took all that we are to the cross and gave us eternal life. In response, we are called to a rich, full, joyful life, overflowing under the favour and blessing of God and in continual fellowship with his people.</w:t>
      </w:r>
      <w:r>
        <w:rPr>
          <w:rFonts w:ascii="Trebuchet MS" w:hAnsi="Trebuchet MS"/>
          <w:sz w:val="22"/>
          <w:szCs w:val="22"/>
        </w:rPr>
        <w:t xml:space="preserve"> This </w:t>
      </w:r>
      <w:proofErr w:type="gramStart"/>
      <w:r>
        <w:rPr>
          <w:rFonts w:ascii="Trebuchet MS" w:hAnsi="Trebuchet MS"/>
          <w:sz w:val="22"/>
          <w:szCs w:val="22"/>
        </w:rPr>
        <w:t>in itself should</w:t>
      </w:r>
      <w:proofErr w:type="gramEnd"/>
      <w:r>
        <w:rPr>
          <w:rFonts w:ascii="Trebuchet MS" w:hAnsi="Trebuchet MS"/>
          <w:sz w:val="22"/>
          <w:szCs w:val="22"/>
        </w:rPr>
        <w:t xml:space="preserve"> motivate all of our expressions of abundant life too.</w:t>
      </w:r>
    </w:p>
    <w:p w14:paraId="36A41381" w14:textId="77777777" w:rsidR="006D0851" w:rsidRPr="00217FAF" w:rsidRDefault="006D0851" w:rsidP="006D0851">
      <w:pPr>
        <w:pStyle w:val="ListParagraph"/>
        <w:numPr>
          <w:ilvl w:val="0"/>
          <w:numId w:val="16"/>
        </w:numPr>
        <w:ind w:left="720"/>
        <w:jc w:val="both"/>
        <w:rPr>
          <w:rFonts w:ascii="Trebuchet MS" w:hAnsi="Trebuchet MS"/>
          <w:sz w:val="22"/>
          <w:szCs w:val="22"/>
        </w:rPr>
      </w:pPr>
      <w:r w:rsidRPr="00217FAF">
        <w:rPr>
          <w:rFonts w:ascii="Trebuchet MS" w:hAnsi="Trebuchet MS"/>
          <w:sz w:val="22"/>
          <w:szCs w:val="22"/>
        </w:rPr>
        <w:t xml:space="preserve">In John 10:10 we see something of this </w:t>
      </w:r>
      <w:r>
        <w:rPr>
          <w:rFonts w:ascii="Trebuchet MS" w:hAnsi="Trebuchet MS"/>
          <w:sz w:val="22"/>
          <w:szCs w:val="22"/>
        </w:rPr>
        <w:t>c</w:t>
      </w:r>
      <w:r w:rsidRPr="00217FAF">
        <w:rPr>
          <w:rFonts w:ascii="Trebuchet MS" w:hAnsi="Trebuchet MS"/>
          <w:sz w:val="22"/>
          <w:szCs w:val="22"/>
        </w:rPr>
        <w:t>ovenant dynamic playing out</w:t>
      </w:r>
      <w:r>
        <w:rPr>
          <w:rFonts w:ascii="Trebuchet MS" w:hAnsi="Trebuchet MS"/>
          <w:sz w:val="22"/>
          <w:szCs w:val="22"/>
        </w:rPr>
        <w:t>.</w:t>
      </w:r>
      <w:r w:rsidRPr="00217FAF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T</w:t>
      </w:r>
      <w:r w:rsidRPr="00217FAF">
        <w:rPr>
          <w:rFonts w:ascii="Trebuchet MS" w:hAnsi="Trebuchet MS"/>
          <w:sz w:val="22"/>
          <w:szCs w:val="22"/>
        </w:rPr>
        <w:t xml:space="preserve">here’s a very clear promise from Jesus – </w:t>
      </w:r>
      <w:r w:rsidRPr="00217FAF">
        <w:rPr>
          <w:rFonts w:ascii="Trebuchet MS" w:hAnsi="Trebuchet MS"/>
          <w:i/>
          <w:sz w:val="22"/>
          <w:szCs w:val="22"/>
        </w:rPr>
        <w:t xml:space="preserve">he </w:t>
      </w:r>
      <w:r w:rsidRPr="00217FAF">
        <w:rPr>
          <w:rFonts w:ascii="Trebuchet MS" w:hAnsi="Trebuchet MS"/>
          <w:sz w:val="22"/>
          <w:szCs w:val="22"/>
        </w:rPr>
        <w:t xml:space="preserve">has come so that </w:t>
      </w:r>
      <w:r w:rsidRPr="00217FAF">
        <w:rPr>
          <w:rFonts w:ascii="Trebuchet MS" w:hAnsi="Trebuchet MS"/>
          <w:i/>
          <w:sz w:val="22"/>
          <w:szCs w:val="22"/>
        </w:rPr>
        <w:t xml:space="preserve">we </w:t>
      </w:r>
      <w:r w:rsidRPr="00217FAF">
        <w:rPr>
          <w:rFonts w:ascii="Trebuchet MS" w:hAnsi="Trebuchet MS"/>
          <w:sz w:val="22"/>
          <w:szCs w:val="22"/>
        </w:rPr>
        <w:t xml:space="preserve">may have life in all its fulness. We get even louder echoes of covenant, however, when we look at the </w:t>
      </w:r>
      <w:proofErr w:type="gramStart"/>
      <w:r w:rsidRPr="00217FAF">
        <w:rPr>
          <w:rFonts w:ascii="Trebuchet MS" w:hAnsi="Trebuchet MS"/>
          <w:sz w:val="22"/>
          <w:szCs w:val="22"/>
        </w:rPr>
        <w:t>passage as a whole, which</w:t>
      </w:r>
      <w:proofErr w:type="gramEnd"/>
      <w:r w:rsidRPr="00217FAF">
        <w:rPr>
          <w:rFonts w:ascii="Trebuchet MS" w:hAnsi="Trebuchet MS"/>
          <w:sz w:val="22"/>
          <w:szCs w:val="22"/>
        </w:rPr>
        <w:t xml:space="preserve"> is sometimes called ‘The Good Shepherd Discourse’ (John 10:1-18). Relatedly, Jesus says that he has come that </w:t>
      </w:r>
      <w:r w:rsidRPr="00217FAF">
        <w:rPr>
          <w:rFonts w:ascii="Trebuchet MS" w:hAnsi="Trebuchet MS"/>
          <w:i/>
          <w:sz w:val="22"/>
          <w:szCs w:val="22"/>
        </w:rPr>
        <w:t xml:space="preserve">they </w:t>
      </w:r>
      <w:r w:rsidRPr="00217FAF">
        <w:rPr>
          <w:rFonts w:ascii="Trebuchet MS" w:hAnsi="Trebuchet MS"/>
          <w:sz w:val="22"/>
          <w:szCs w:val="22"/>
        </w:rPr>
        <w:t>might have life in all its fullness – it’s a promise that refers to the whole community of God’s people, not just an individual or select group.</w:t>
      </w:r>
    </w:p>
    <w:p w14:paraId="4F8D0AB0" w14:textId="77777777" w:rsidR="006D0851" w:rsidRPr="00217FAF" w:rsidRDefault="006D0851" w:rsidP="006D0851">
      <w:pPr>
        <w:pStyle w:val="ListParagraph"/>
        <w:numPr>
          <w:ilvl w:val="0"/>
          <w:numId w:val="16"/>
        </w:numPr>
        <w:ind w:left="720"/>
        <w:jc w:val="both"/>
        <w:rPr>
          <w:rFonts w:ascii="Trebuchet MS" w:hAnsi="Trebuchet MS"/>
          <w:sz w:val="22"/>
          <w:szCs w:val="22"/>
        </w:rPr>
      </w:pPr>
      <w:r w:rsidRPr="00217FAF">
        <w:rPr>
          <w:rFonts w:ascii="Trebuchet MS" w:hAnsi="Trebuchet MS"/>
          <w:sz w:val="22"/>
          <w:szCs w:val="22"/>
        </w:rPr>
        <w:t xml:space="preserve">These verses are crammed with allusions to Old Testament </w:t>
      </w:r>
      <w:r>
        <w:rPr>
          <w:rFonts w:ascii="Trebuchet MS" w:hAnsi="Trebuchet MS"/>
          <w:sz w:val="22"/>
          <w:szCs w:val="22"/>
        </w:rPr>
        <w:t>c</w:t>
      </w:r>
      <w:r w:rsidRPr="00217FAF">
        <w:rPr>
          <w:rFonts w:ascii="Trebuchet MS" w:hAnsi="Trebuchet MS"/>
          <w:sz w:val="22"/>
          <w:szCs w:val="22"/>
        </w:rPr>
        <w:t xml:space="preserve">ovenant, found in Ezekiel 34. This prophetic oracle promises that one day God will give his people a good shepherd. In the way that Jesus draws on Ezekiel 34 in his speech in John 10 </w:t>
      </w:r>
      <w:r w:rsidRPr="00217FAF">
        <w:rPr>
          <w:rFonts w:ascii="Trebuchet MS" w:hAnsi="Trebuchet MS"/>
          <w:sz w:val="22"/>
          <w:szCs w:val="22"/>
        </w:rPr>
        <w:lastRenderedPageBreak/>
        <w:t>(some commentators count 23 similarities between Ezekiel 34 and John 10)</w:t>
      </w:r>
      <w:r w:rsidRPr="00217FAF">
        <w:rPr>
          <w:rStyle w:val="FootnoteReference"/>
          <w:rFonts w:ascii="Trebuchet MS" w:hAnsi="Trebuchet MS"/>
          <w:sz w:val="22"/>
          <w:szCs w:val="22"/>
        </w:rPr>
        <w:footnoteReference w:id="3"/>
      </w:r>
      <w:r w:rsidRPr="00217FAF">
        <w:rPr>
          <w:rFonts w:ascii="Trebuchet MS" w:hAnsi="Trebuchet MS"/>
          <w:sz w:val="22"/>
          <w:szCs w:val="22"/>
        </w:rPr>
        <w:t xml:space="preserve">, Jesus is affirming that in him is the fulfilment of God’s covenant promises to his people. </w:t>
      </w:r>
    </w:p>
    <w:p w14:paraId="70DFDF12" w14:textId="77777777" w:rsidR="006D0851" w:rsidRPr="00E01AB0" w:rsidRDefault="006D0851" w:rsidP="006D0851">
      <w:pPr>
        <w:pStyle w:val="ListParagraph"/>
        <w:numPr>
          <w:ilvl w:val="0"/>
          <w:numId w:val="17"/>
        </w:numPr>
        <w:ind w:left="720"/>
        <w:jc w:val="both"/>
        <w:rPr>
          <w:rFonts w:ascii="Trebuchet MS" w:hAnsi="Trebuchet MS"/>
          <w:sz w:val="22"/>
          <w:szCs w:val="22"/>
        </w:rPr>
      </w:pPr>
      <w:r w:rsidRPr="00E01AB0">
        <w:rPr>
          <w:rFonts w:ascii="Trebuchet MS" w:hAnsi="Trebuchet MS"/>
          <w:sz w:val="22"/>
          <w:szCs w:val="22"/>
        </w:rPr>
        <w:t>John 10:1,5 also remind us that the abundant life offered by Christ pierces the darkness</w:t>
      </w:r>
      <w:r>
        <w:rPr>
          <w:rFonts w:ascii="Trebuchet MS" w:hAnsi="Trebuchet MS"/>
          <w:sz w:val="22"/>
          <w:szCs w:val="22"/>
        </w:rPr>
        <w:t>,</w:t>
      </w:r>
      <w:r w:rsidRPr="00E01AB0">
        <w:rPr>
          <w:rFonts w:ascii="Trebuchet MS" w:hAnsi="Trebuchet MS"/>
          <w:sz w:val="22"/>
          <w:szCs w:val="22"/>
        </w:rPr>
        <w:t xml:space="preserve"> and th</w:t>
      </w:r>
      <w:r>
        <w:rPr>
          <w:rFonts w:ascii="Trebuchet MS" w:hAnsi="Trebuchet MS"/>
          <w:sz w:val="22"/>
          <w:szCs w:val="22"/>
        </w:rPr>
        <w:t>is</w:t>
      </w:r>
      <w:r w:rsidRPr="00E01AB0">
        <w:rPr>
          <w:rFonts w:ascii="Trebuchet MS" w:hAnsi="Trebuchet MS"/>
          <w:sz w:val="22"/>
          <w:szCs w:val="22"/>
        </w:rPr>
        <w:t xml:space="preserve"> stand</w:t>
      </w:r>
      <w:r>
        <w:rPr>
          <w:rFonts w:ascii="Trebuchet MS" w:hAnsi="Trebuchet MS"/>
          <w:sz w:val="22"/>
          <w:szCs w:val="22"/>
        </w:rPr>
        <w:t>s</w:t>
      </w:r>
      <w:r w:rsidRPr="00E01AB0">
        <w:rPr>
          <w:rFonts w:ascii="Trebuchet MS" w:hAnsi="Trebuchet MS"/>
          <w:sz w:val="22"/>
          <w:szCs w:val="22"/>
        </w:rPr>
        <w:t xml:space="preserve"> in stark contrast </w:t>
      </w:r>
      <w:r>
        <w:rPr>
          <w:rFonts w:ascii="Trebuchet MS" w:hAnsi="Trebuchet MS"/>
          <w:sz w:val="22"/>
          <w:szCs w:val="22"/>
        </w:rPr>
        <w:t>to</w:t>
      </w:r>
      <w:r w:rsidRPr="00E01AB0">
        <w:rPr>
          <w:rFonts w:ascii="Trebuchet MS" w:hAnsi="Trebuchet MS"/>
          <w:sz w:val="22"/>
          <w:szCs w:val="22"/>
        </w:rPr>
        <w:t xml:space="preserve"> all that seeks to rob people of abundant living: those who are the victims of the abuse of power, those who have been mistreated, those who have experienced injustice. </w:t>
      </w:r>
    </w:p>
    <w:p w14:paraId="577DAD46" w14:textId="77777777" w:rsidR="006D0851" w:rsidRPr="00E01AB0" w:rsidRDefault="006D0851" w:rsidP="006D0851">
      <w:pPr>
        <w:pStyle w:val="ListParagraph"/>
        <w:numPr>
          <w:ilvl w:val="0"/>
          <w:numId w:val="17"/>
        </w:numPr>
        <w:ind w:left="720"/>
        <w:jc w:val="both"/>
        <w:rPr>
          <w:rFonts w:ascii="Trebuchet MS" w:hAnsi="Trebuchet MS"/>
          <w:sz w:val="22"/>
          <w:szCs w:val="22"/>
        </w:rPr>
      </w:pPr>
      <w:r w:rsidRPr="00E01AB0">
        <w:rPr>
          <w:rFonts w:ascii="Trebuchet MS" w:hAnsi="Trebuchet MS"/>
          <w:sz w:val="22"/>
          <w:szCs w:val="22"/>
        </w:rPr>
        <w:t xml:space="preserve">The promise of transformation from darkness to light is picked up in the echoes from Ezekiel 34, which we see </w:t>
      </w:r>
      <w:proofErr w:type="gramStart"/>
      <w:r w:rsidRPr="00E01AB0">
        <w:rPr>
          <w:rFonts w:ascii="Trebuchet MS" w:hAnsi="Trebuchet MS"/>
          <w:sz w:val="22"/>
          <w:szCs w:val="22"/>
        </w:rPr>
        <w:t>Jesus</w:t>
      </w:r>
      <w:proofErr w:type="gramEnd"/>
      <w:r w:rsidRPr="00E01AB0">
        <w:rPr>
          <w:rFonts w:ascii="Trebuchet MS" w:hAnsi="Trebuchet MS"/>
          <w:sz w:val="22"/>
          <w:szCs w:val="22"/>
        </w:rPr>
        <w:t xml:space="preserve"> alluding to extensively in John 10 when the ‘Good Shepherd’ comes.</w:t>
      </w:r>
    </w:p>
    <w:p w14:paraId="0B6D3A76" w14:textId="77777777" w:rsidR="006D0851" w:rsidRPr="00217FAF" w:rsidRDefault="006D0851" w:rsidP="006D0851">
      <w:pPr>
        <w:pStyle w:val="ListParagraph"/>
        <w:numPr>
          <w:ilvl w:val="0"/>
          <w:numId w:val="17"/>
        </w:numPr>
        <w:ind w:left="720"/>
        <w:jc w:val="both"/>
        <w:rPr>
          <w:rFonts w:ascii="Trebuchet MS" w:hAnsi="Trebuchet MS"/>
          <w:sz w:val="22"/>
          <w:szCs w:val="22"/>
        </w:rPr>
      </w:pPr>
      <w:r w:rsidRPr="00217FAF">
        <w:rPr>
          <w:rFonts w:ascii="Trebuchet MS" w:hAnsi="Trebuchet MS"/>
          <w:sz w:val="22"/>
          <w:szCs w:val="22"/>
        </w:rPr>
        <w:t xml:space="preserve">In that sense, Ezekiel 34 gives us a vivid picture of </w:t>
      </w:r>
      <w:proofErr w:type="gramStart"/>
      <w:r w:rsidRPr="00217FAF">
        <w:rPr>
          <w:rFonts w:ascii="Trebuchet MS" w:hAnsi="Trebuchet MS"/>
          <w:sz w:val="22"/>
          <w:szCs w:val="22"/>
        </w:rPr>
        <w:t>all of</w:t>
      </w:r>
      <w:proofErr w:type="gramEnd"/>
      <w:r w:rsidRPr="00217FAF">
        <w:rPr>
          <w:rFonts w:ascii="Trebuchet MS" w:hAnsi="Trebuchet MS"/>
          <w:sz w:val="22"/>
          <w:szCs w:val="22"/>
        </w:rPr>
        <w:t xml:space="preserve"> the dimensions of what transformed ‘life to the full’ looks like. It is important not to separate this promise but to view </w:t>
      </w:r>
      <w:proofErr w:type="gramStart"/>
      <w:r w:rsidRPr="00217FAF">
        <w:rPr>
          <w:rFonts w:ascii="Trebuchet MS" w:hAnsi="Trebuchet MS"/>
          <w:sz w:val="22"/>
          <w:szCs w:val="22"/>
        </w:rPr>
        <w:t>it as a whole, noting</w:t>
      </w:r>
      <w:proofErr w:type="gramEnd"/>
      <w:r w:rsidRPr="00217FAF">
        <w:rPr>
          <w:rFonts w:ascii="Trebuchet MS" w:hAnsi="Trebuchet MS"/>
          <w:sz w:val="22"/>
          <w:szCs w:val="22"/>
        </w:rPr>
        <w:t xml:space="preserve"> that the promises don’t refer simply to material/mortal or spiritual/eternal things</w:t>
      </w:r>
      <w:r>
        <w:rPr>
          <w:rFonts w:ascii="Trebuchet MS" w:hAnsi="Trebuchet MS"/>
          <w:sz w:val="22"/>
          <w:szCs w:val="22"/>
        </w:rPr>
        <w:t>.</w:t>
      </w:r>
      <w:r w:rsidRPr="00217FAF">
        <w:rPr>
          <w:rFonts w:ascii="Trebuchet MS" w:hAnsi="Trebuchet MS"/>
          <w:sz w:val="22"/>
          <w:szCs w:val="22"/>
        </w:rPr>
        <w:t xml:space="preserve"> </w:t>
      </w:r>
      <w:proofErr w:type="gramStart"/>
      <w:r>
        <w:rPr>
          <w:rFonts w:ascii="Trebuchet MS" w:hAnsi="Trebuchet MS"/>
          <w:sz w:val="22"/>
          <w:szCs w:val="22"/>
        </w:rPr>
        <w:t>Instead</w:t>
      </w:r>
      <w:proofErr w:type="gramEnd"/>
      <w:r w:rsidRPr="00217FAF">
        <w:rPr>
          <w:rFonts w:ascii="Trebuchet MS" w:hAnsi="Trebuchet MS"/>
          <w:sz w:val="22"/>
          <w:szCs w:val="22"/>
        </w:rPr>
        <w:t xml:space="preserve"> the eschatological promise of abundant life is for the transformation of the whole of life – flowing from an intimate, restored, covenant relationship with God. </w:t>
      </w:r>
    </w:p>
    <w:p w14:paraId="78688726" w14:textId="77777777" w:rsidR="006D0851" w:rsidRPr="00E01AB0" w:rsidRDefault="006D0851" w:rsidP="006D0851">
      <w:pPr>
        <w:pStyle w:val="ListParagraph"/>
        <w:numPr>
          <w:ilvl w:val="0"/>
          <w:numId w:val="17"/>
        </w:numPr>
        <w:ind w:left="720"/>
        <w:jc w:val="both"/>
        <w:rPr>
          <w:rFonts w:ascii="Trebuchet MS" w:hAnsi="Trebuchet MS"/>
          <w:i/>
          <w:iCs/>
          <w:sz w:val="22"/>
          <w:szCs w:val="22"/>
        </w:rPr>
      </w:pPr>
      <w:r w:rsidRPr="00E01AB0">
        <w:rPr>
          <w:rFonts w:ascii="Trebuchet MS" w:hAnsi="Trebuchet MS"/>
          <w:i/>
          <w:iCs/>
          <w:sz w:val="22"/>
          <w:szCs w:val="22"/>
        </w:rPr>
        <w:t xml:space="preserve">Quote - ‘Abundant </w:t>
      </w:r>
      <w:r>
        <w:rPr>
          <w:rFonts w:ascii="Trebuchet MS" w:hAnsi="Trebuchet MS"/>
          <w:i/>
          <w:iCs/>
          <w:sz w:val="22"/>
          <w:szCs w:val="22"/>
        </w:rPr>
        <w:t>l</w:t>
      </w:r>
      <w:r w:rsidRPr="00E01AB0">
        <w:rPr>
          <w:rFonts w:ascii="Trebuchet MS" w:hAnsi="Trebuchet MS"/>
          <w:i/>
          <w:iCs/>
          <w:sz w:val="22"/>
          <w:szCs w:val="22"/>
        </w:rPr>
        <w:t>ife looks back toward creation: it anticipates the blessings of the new life of the resurrection, especially the blessing of being in the divine presence; and it lies at the intersection of past and future, while in the present it offers communion with the living God.’ (Marianne Thompson, The Gospel of John).</w:t>
      </w:r>
    </w:p>
    <w:bookmarkEnd w:id="0"/>
    <w:p w14:paraId="5D15A52E" w14:textId="77777777" w:rsidR="006D0851" w:rsidRPr="00E01AB0" w:rsidRDefault="006D0851" w:rsidP="006D0851">
      <w:pPr>
        <w:pStyle w:val="ListParagraph"/>
        <w:numPr>
          <w:ilvl w:val="0"/>
          <w:numId w:val="17"/>
        </w:numPr>
        <w:ind w:left="720"/>
        <w:jc w:val="both"/>
        <w:rPr>
          <w:rFonts w:ascii="Trebuchet MS" w:hAnsi="Trebuchet MS"/>
          <w:sz w:val="22"/>
          <w:szCs w:val="22"/>
        </w:rPr>
      </w:pPr>
      <w:r w:rsidRPr="00E01AB0">
        <w:rPr>
          <w:rFonts w:ascii="Trebuchet MS" w:hAnsi="Trebuchet MS"/>
          <w:sz w:val="22"/>
          <w:szCs w:val="22"/>
        </w:rPr>
        <w:t>The word ‘life’ (and its associated words) appears 56 times in John’s Gospel. Remarkably absent from John’s Gospel</w:t>
      </w:r>
      <w:r>
        <w:rPr>
          <w:rFonts w:ascii="Trebuchet MS" w:hAnsi="Trebuchet MS"/>
          <w:sz w:val="22"/>
          <w:szCs w:val="22"/>
        </w:rPr>
        <w:t>,</w:t>
      </w:r>
      <w:r w:rsidRPr="00E01AB0">
        <w:rPr>
          <w:rFonts w:ascii="Trebuchet MS" w:hAnsi="Trebuchet MS"/>
          <w:sz w:val="22"/>
          <w:szCs w:val="22"/>
        </w:rPr>
        <w:t xml:space="preserve"> however</w:t>
      </w:r>
      <w:r>
        <w:rPr>
          <w:rFonts w:ascii="Trebuchet MS" w:hAnsi="Trebuchet MS"/>
          <w:sz w:val="22"/>
          <w:szCs w:val="22"/>
        </w:rPr>
        <w:t>,</w:t>
      </w:r>
      <w:r w:rsidRPr="00E01AB0">
        <w:rPr>
          <w:rFonts w:ascii="Trebuchet MS" w:hAnsi="Trebuchet MS"/>
          <w:sz w:val="22"/>
          <w:szCs w:val="22"/>
        </w:rPr>
        <w:t xml:space="preserve"> is the word ‘Kingdom’ (</w:t>
      </w:r>
      <w:r>
        <w:rPr>
          <w:rFonts w:ascii="Trebuchet MS" w:hAnsi="Trebuchet MS"/>
          <w:sz w:val="22"/>
          <w:szCs w:val="22"/>
        </w:rPr>
        <w:t>w</w:t>
      </w:r>
      <w:r w:rsidRPr="00E01AB0">
        <w:rPr>
          <w:rFonts w:ascii="Trebuchet MS" w:hAnsi="Trebuchet MS"/>
          <w:sz w:val="22"/>
          <w:szCs w:val="22"/>
        </w:rPr>
        <w:t>hich appears much more frequently in the synoptics). This has led some scholars to conclude that when John talks about ‘</w:t>
      </w:r>
      <w:r>
        <w:rPr>
          <w:rFonts w:ascii="Trebuchet MS" w:hAnsi="Trebuchet MS"/>
          <w:sz w:val="22"/>
          <w:szCs w:val="22"/>
        </w:rPr>
        <w:t>l</w:t>
      </w:r>
      <w:r w:rsidRPr="00E01AB0">
        <w:rPr>
          <w:rFonts w:ascii="Trebuchet MS" w:hAnsi="Trebuchet MS"/>
          <w:sz w:val="22"/>
          <w:szCs w:val="22"/>
        </w:rPr>
        <w:t>ife’ he is talking about the same sorts of things the other Gospel writers are talking about when they talk about ‘the Kingdom’.</w:t>
      </w:r>
      <w:r>
        <w:rPr>
          <w:rStyle w:val="FootnoteReference"/>
          <w:rFonts w:ascii="Trebuchet MS" w:hAnsi="Trebuchet MS"/>
          <w:sz w:val="22"/>
          <w:szCs w:val="22"/>
        </w:rPr>
        <w:footnoteReference w:customMarkFollows="1" w:id="4"/>
        <w:t>3</w:t>
      </w:r>
      <w:r w:rsidRPr="00E01AB0">
        <w:rPr>
          <w:rFonts w:ascii="Trebuchet MS" w:hAnsi="Trebuchet MS"/>
          <w:sz w:val="22"/>
          <w:szCs w:val="22"/>
        </w:rPr>
        <w:t xml:space="preserve"> </w:t>
      </w:r>
    </w:p>
    <w:p w14:paraId="226EB09A" w14:textId="3BD8CB32" w:rsidR="006D0851" w:rsidRPr="00E01AB0" w:rsidRDefault="006D0851" w:rsidP="006D0851">
      <w:pPr>
        <w:pStyle w:val="ListParagraph"/>
        <w:numPr>
          <w:ilvl w:val="0"/>
          <w:numId w:val="17"/>
        </w:numPr>
        <w:ind w:left="720"/>
        <w:jc w:val="both"/>
        <w:rPr>
          <w:rFonts w:ascii="Trebuchet MS" w:hAnsi="Trebuchet MS"/>
          <w:sz w:val="22"/>
          <w:szCs w:val="22"/>
        </w:rPr>
      </w:pPr>
      <w:r w:rsidRPr="00E01AB0">
        <w:rPr>
          <w:rFonts w:ascii="Trebuchet MS" w:hAnsi="Trebuchet MS"/>
          <w:sz w:val="22"/>
          <w:szCs w:val="22"/>
        </w:rPr>
        <w:t xml:space="preserve">Abundant life is not merely an abstract concept but is about actually living as the people of God ‘on earth as in </w:t>
      </w:r>
      <w:r>
        <w:rPr>
          <w:rFonts w:ascii="Trebuchet MS" w:hAnsi="Trebuchet MS"/>
          <w:sz w:val="22"/>
          <w:szCs w:val="22"/>
        </w:rPr>
        <w:t>H</w:t>
      </w:r>
      <w:r w:rsidRPr="00E01AB0">
        <w:rPr>
          <w:rFonts w:ascii="Trebuchet MS" w:hAnsi="Trebuchet MS"/>
          <w:sz w:val="22"/>
          <w:szCs w:val="22"/>
        </w:rPr>
        <w:t>eaven’. As Michael Gorman puts it – in John 10:10 ‘Jesus does not merely disclose something – he delivers something. That something is life – abundant and eternal</w:t>
      </w:r>
      <w:r>
        <w:rPr>
          <w:rFonts w:ascii="Trebuchet MS" w:hAnsi="Trebuchet MS"/>
          <w:sz w:val="22"/>
          <w:szCs w:val="22"/>
        </w:rPr>
        <w:t>.</w:t>
      </w:r>
      <w:r w:rsidRPr="00E01AB0">
        <w:rPr>
          <w:rFonts w:ascii="Trebuchet MS" w:hAnsi="Trebuchet MS"/>
          <w:sz w:val="22"/>
          <w:szCs w:val="22"/>
        </w:rPr>
        <w:t>’</w:t>
      </w:r>
      <w:r>
        <w:rPr>
          <w:rStyle w:val="FootnoteReference"/>
          <w:rFonts w:ascii="Trebuchet MS" w:hAnsi="Trebuchet MS"/>
          <w:sz w:val="22"/>
          <w:szCs w:val="22"/>
        </w:rPr>
        <w:footnoteReference w:customMarkFollows="1" w:id="5"/>
        <w:t>4</w:t>
      </w:r>
      <w:r w:rsidRPr="00E01AB0">
        <w:rPr>
          <w:rFonts w:ascii="Trebuchet MS" w:hAnsi="Trebuchet MS"/>
          <w:sz w:val="22"/>
          <w:szCs w:val="22"/>
          <w:vertAlign w:val="superscript"/>
        </w:rPr>
        <w:t xml:space="preserve"> </w:t>
      </w:r>
      <w:r w:rsidRPr="00E01AB0">
        <w:rPr>
          <w:rFonts w:ascii="Trebuchet MS" w:hAnsi="Trebuchet MS"/>
          <w:sz w:val="22"/>
          <w:szCs w:val="22"/>
        </w:rPr>
        <w:t xml:space="preserve">It’s not enough to simply talk about ‘abundant life’ – it needs to be our experience. </w:t>
      </w:r>
    </w:p>
    <w:p w14:paraId="0B79C416" w14:textId="77777777" w:rsidR="006D0851" w:rsidRPr="00E01AB0" w:rsidRDefault="006D0851" w:rsidP="006D0851">
      <w:pPr>
        <w:pStyle w:val="ListParagraph"/>
        <w:numPr>
          <w:ilvl w:val="0"/>
          <w:numId w:val="17"/>
        </w:numPr>
        <w:ind w:left="720"/>
        <w:jc w:val="both"/>
        <w:rPr>
          <w:rFonts w:ascii="Trebuchet MS" w:hAnsi="Trebuchet MS"/>
          <w:sz w:val="22"/>
          <w:szCs w:val="22"/>
        </w:rPr>
      </w:pPr>
      <w:r w:rsidRPr="00E01AB0">
        <w:rPr>
          <w:rFonts w:ascii="Trebuchet MS" w:hAnsi="Trebuchet MS"/>
          <w:sz w:val="22"/>
          <w:szCs w:val="22"/>
        </w:rPr>
        <w:t>This ‘abundant life’ isn’t something we keep to ourselves. It’s better experienced with others, as we seek to participate</w:t>
      </w:r>
      <w:r>
        <w:rPr>
          <w:rFonts w:ascii="Trebuchet MS" w:hAnsi="Trebuchet MS"/>
          <w:sz w:val="22"/>
          <w:szCs w:val="22"/>
        </w:rPr>
        <w:t xml:space="preserve"> in</w:t>
      </w:r>
      <w:r w:rsidRPr="00E01AB0">
        <w:rPr>
          <w:rFonts w:ascii="Trebuchet MS" w:hAnsi="Trebuchet MS"/>
          <w:sz w:val="22"/>
          <w:szCs w:val="22"/>
        </w:rPr>
        <w:t xml:space="preserve"> and contribute to the world around us as Jesus’ disciples.</w:t>
      </w:r>
    </w:p>
    <w:p w14:paraId="5964460D" w14:textId="77777777" w:rsidR="006D0851" w:rsidRPr="00E01AB0" w:rsidRDefault="006D0851" w:rsidP="006D0851">
      <w:pPr>
        <w:pStyle w:val="ListParagraph"/>
        <w:numPr>
          <w:ilvl w:val="0"/>
          <w:numId w:val="17"/>
        </w:numPr>
        <w:ind w:left="720"/>
        <w:jc w:val="both"/>
        <w:rPr>
          <w:rFonts w:ascii="Trebuchet MS" w:hAnsi="Trebuchet MS"/>
          <w:sz w:val="22"/>
          <w:szCs w:val="22"/>
        </w:rPr>
      </w:pPr>
      <w:r w:rsidRPr="00E01AB0">
        <w:rPr>
          <w:rFonts w:ascii="Trebuchet MS" w:hAnsi="Trebuchet MS"/>
          <w:sz w:val="22"/>
          <w:szCs w:val="22"/>
        </w:rPr>
        <w:t>As we think about ‘Celebrating Life Together’, Richard Foster writes that ‘Celebration is at the heart of the way of Christ.’</w:t>
      </w:r>
      <w:r>
        <w:rPr>
          <w:rStyle w:val="FootnoteReference"/>
          <w:rFonts w:ascii="Trebuchet MS" w:hAnsi="Trebuchet MS"/>
          <w:sz w:val="22"/>
          <w:szCs w:val="22"/>
        </w:rPr>
        <w:footnoteReference w:customMarkFollows="1" w:id="6"/>
        <w:t>5</w:t>
      </w:r>
      <w:r w:rsidRPr="00E01AB0">
        <w:rPr>
          <w:rFonts w:ascii="Trebuchet MS" w:hAnsi="Trebuchet MS"/>
          <w:sz w:val="22"/>
          <w:szCs w:val="22"/>
        </w:rPr>
        <w:t xml:space="preserve"> When the poor receive the good news, when the captives are released, when the blind receive their sight, when the oppressed are liberated</w:t>
      </w:r>
      <w:r>
        <w:rPr>
          <w:rFonts w:ascii="Trebuchet MS" w:hAnsi="Trebuchet MS"/>
          <w:sz w:val="22"/>
          <w:szCs w:val="22"/>
        </w:rPr>
        <w:t>,</w:t>
      </w:r>
      <w:r w:rsidRPr="00E01AB0">
        <w:rPr>
          <w:rFonts w:ascii="Trebuchet MS" w:hAnsi="Trebuchet MS"/>
          <w:sz w:val="22"/>
          <w:szCs w:val="22"/>
        </w:rPr>
        <w:t xml:space="preserve"> how can we not celebrate together the fullness of life that is found in Jesus?  (Luke 4:18,19</w:t>
      </w:r>
      <w:r>
        <w:rPr>
          <w:rFonts w:ascii="Trebuchet MS" w:hAnsi="Trebuchet MS"/>
          <w:sz w:val="22"/>
          <w:szCs w:val="22"/>
        </w:rPr>
        <w:t xml:space="preserve"> </w:t>
      </w:r>
      <w:r w:rsidRPr="00E01AB0">
        <w:rPr>
          <w:rFonts w:ascii="Trebuchet MS" w:hAnsi="Trebuchet MS"/>
          <w:sz w:val="22"/>
          <w:szCs w:val="22"/>
        </w:rPr>
        <w:t>/</w:t>
      </w:r>
      <w:r>
        <w:rPr>
          <w:rFonts w:ascii="Trebuchet MS" w:hAnsi="Trebuchet MS"/>
          <w:sz w:val="22"/>
          <w:szCs w:val="22"/>
        </w:rPr>
        <w:t xml:space="preserve"> </w:t>
      </w:r>
      <w:r w:rsidRPr="00E01AB0">
        <w:rPr>
          <w:rFonts w:ascii="Trebuchet MS" w:hAnsi="Trebuchet MS"/>
          <w:sz w:val="22"/>
          <w:szCs w:val="22"/>
        </w:rPr>
        <w:t xml:space="preserve">John 10:10). </w:t>
      </w:r>
    </w:p>
    <w:p w14:paraId="76E03431" w14:textId="77777777" w:rsidR="006D0851" w:rsidRPr="00E01AB0" w:rsidRDefault="006D0851" w:rsidP="006D0851">
      <w:pPr>
        <w:pStyle w:val="ListParagraph"/>
        <w:numPr>
          <w:ilvl w:val="0"/>
          <w:numId w:val="17"/>
        </w:numPr>
        <w:ind w:left="720"/>
        <w:jc w:val="both"/>
        <w:rPr>
          <w:rFonts w:ascii="Trebuchet MS" w:hAnsi="Trebuchet MS"/>
          <w:sz w:val="22"/>
          <w:szCs w:val="22"/>
        </w:rPr>
      </w:pPr>
      <w:r w:rsidRPr="00E01AB0">
        <w:rPr>
          <w:rFonts w:ascii="Trebuchet MS" w:hAnsi="Trebuchet MS"/>
          <w:sz w:val="22"/>
          <w:szCs w:val="22"/>
        </w:rPr>
        <w:t>Celebrating life together gives us the strength to faithfully keep walking in a covenanted relationship with Jesus each day, despite what may be happening within us and around us.</w:t>
      </w:r>
    </w:p>
    <w:p w14:paraId="123F22FB" w14:textId="77777777" w:rsidR="006D0851" w:rsidRPr="00E01AB0" w:rsidRDefault="006D0851" w:rsidP="006D0851">
      <w:pPr>
        <w:ind w:left="491"/>
        <w:jc w:val="both"/>
        <w:rPr>
          <w:rFonts w:ascii="Trebuchet MS" w:hAnsi="Trebuchet MS"/>
          <w:sz w:val="22"/>
          <w:szCs w:val="22"/>
        </w:rPr>
      </w:pPr>
    </w:p>
    <w:p w14:paraId="1F1825F2" w14:textId="78D01E6D" w:rsidR="006D0851" w:rsidRDefault="006D0851" w:rsidP="006D0851">
      <w:pPr>
        <w:pStyle w:val="Headings"/>
        <w:jc w:val="both"/>
        <w:rPr>
          <w:sz w:val="24"/>
        </w:rPr>
      </w:pPr>
      <w:r>
        <w:rPr>
          <w:sz w:val="24"/>
        </w:rPr>
        <w:lastRenderedPageBreak/>
        <w:t>Reflection</w:t>
      </w:r>
    </w:p>
    <w:p w14:paraId="39D2F5C9" w14:textId="77777777" w:rsidR="006D0851" w:rsidRPr="00E01AB0" w:rsidRDefault="006D0851" w:rsidP="006D0851">
      <w:pPr>
        <w:pStyle w:val="ListParagraph"/>
        <w:numPr>
          <w:ilvl w:val="0"/>
          <w:numId w:val="17"/>
        </w:numPr>
        <w:ind w:left="784"/>
        <w:jc w:val="both"/>
        <w:rPr>
          <w:rFonts w:ascii="Trebuchet MS" w:hAnsi="Trebuchet MS"/>
          <w:sz w:val="22"/>
          <w:szCs w:val="22"/>
        </w:rPr>
      </w:pPr>
      <w:r w:rsidRPr="00E01AB0">
        <w:rPr>
          <w:rFonts w:ascii="Trebuchet MS" w:hAnsi="Trebuchet MS"/>
          <w:sz w:val="22"/>
          <w:szCs w:val="22"/>
        </w:rPr>
        <w:t xml:space="preserve">This is both the initiation and the challenge for us on Covenant Sunday – have we as a church community experienced, or are we experiencing, the abundant, full life that Christ offers? Is that overflowing into our community? </w:t>
      </w:r>
    </w:p>
    <w:p w14:paraId="6D2C0578" w14:textId="77777777" w:rsidR="006D0851" w:rsidRPr="00E01AB0" w:rsidRDefault="006D0851" w:rsidP="006D0851">
      <w:pPr>
        <w:pStyle w:val="ListParagraph"/>
        <w:numPr>
          <w:ilvl w:val="0"/>
          <w:numId w:val="18"/>
        </w:numPr>
        <w:ind w:left="784"/>
        <w:jc w:val="both"/>
        <w:rPr>
          <w:rFonts w:ascii="Trebuchet MS" w:hAnsi="Trebuchet MS"/>
          <w:sz w:val="22"/>
          <w:szCs w:val="22"/>
        </w:rPr>
      </w:pPr>
      <w:r w:rsidRPr="00E01AB0">
        <w:rPr>
          <w:rFonts w:ascii="Trebuchet MS" w:hAnsi="Trebuchet MS"/>
          <w:sz w:val="22"/>
          <w:szCs w:val="22"/>
        </w:rPr>
        <w:t xml:space="preserve">Are we committing to challenge the darkness, the ‘bandits and robbers’ that threaten to steal abundant living from others? Having encountered the life-giving love of Jesus, demonstrated in his death and resurrection, is that motivating our worship and mission, our </w:t>
      </w:r>
      <w:proofErr w:type="gramStart"/>
      <w:r w:rsidRPr="00E01AB0">
        <w:rPr>
          <w:rFonts w:ascii="Trebuchet MS" w:hAnsi="Trebuchet MS"/>
          <w:sz w:val="22"/>
          <w:szCs w:val="22"/>
        </w:rPr>
        <w:t>fellowship</w:t>
      </w:r>
      <w:proofErr w:type="gramEnd"/>
      <w:r w:rsidRPr="00E01AB0">
        <w:rPr>
          <w:rFonts w:ascii="Trebuchet MS" w:hAnsi="Trebuchet MS"/>
          <w:sz w:val="22"/>
          <w:szCs w:val="22"/>
        </w:rPr>
        <w:t xml:space="preserve"> and our service in the world? How can we ‘celebrate life together’ in an effective and missional way? </w:t>
      </w:r>
    </w:p>
    <w:p w14:paraId="1819A66F" w14:textId="332A2AA8" w:rsidR="00A0167B" w:rsidRPr="00AB24DB" w:rsidRDefault="00A0167B" w:rsidP="006D0851">
      <w:pPr>
        <w:pStyle w:val="NormalCS"/>
        <w:ind w:left="-360"/>
        <w:jc w:val="both"/>
      </w:pPr>
    </w:p>
    <w:sectPr w:rsidR="00A0167B" w:rsidRPr="00AB24DB" w:rsidSect="003361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3119" w:right="1440" w:bottom="1758" w:left="1440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B18E2" w14:textId="77777777" w:rsidR="006A62ED" w:rsidRDefault="006A62ED" w:rsidP="0064652C">
      <w:r>
        <w:separator/>
      </w:r>
    </w:p>
  </w:endnote>
  <w:endnote w:type="continuationSeparator" w:id="0">
    <w:p w14:paraId="7ED83CEF" w14:textId="77777777" w:rsidR="006A62ED" w:rsidRDefault="006A62ED" w:rsidP="0064652C">
      <w:r>
        <w:continuationSeparator/>
      </w:r>
    </w:p>
  </w:endnote>
  <w:endnote w:type="continuationNotice" w:id="1">
    <w:p w14:paraId="397E7754" w14:textId="77777777" w:rsidR="006A62ED" w:rsidRDefault="006A62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5B358" w14:textId="77777777" w:rsidR="005B41BB" w:rsidRDefault="005B41BB" w:rsidP="00930CC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554402" w14:textId="77777777" w:rsidR="005B41BB" w:rsidRDefault="005B41BB" w:rsidP="005B41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E9C18" w14:textId="77777777" w:rsidR="005B41BB" w:rsidRPr="005B41BB" w:rsidRDefault="005B41BB" w:rsidP="005B41BB">
    <w:pPr>
      <w:pStyle w:val="Footer"/>
      <w:ind w:right="360"/>
      <w:rPr>
        <w:rFonts w:ascii="Trebuchet MS" w:hAnsi="Trebuchet MS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81DB" w14:textId="77777777" w:rsidR="00C42268" w:rsidRDefault="00C422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41742" w14:textId="77777777" w:rsidR="006A62ED" w:rsidRDefault="006A62ED" w:rsidP="0064652C">
      <w:r>
        <w:separator/>
      </w:r>
    </w:p>
  </w:footnote>
  <w:footnote w:type="continuationSeparator" w:id="0">
    <w:p w14:paraId="322A53D7" w14:textId="77777777" w:rsidR="006A62ED" w:rsidRDefault="006A62ED" w:rsidP="0064652C">
      <w:r>
        <w:continuationSeparator/>
      </w:r>
    </w:p>
  </w:footnote>
  <w:footnote w:type="continuationNotice" w:id="1">
    <w:p w14:paraId="37F7CBD9" w14:textId="77777777" w:rsidR="006A62ED" w:rsidRDefault="006A62ED"/>
  </w:footnote>
  <w:footnote w:id="2">
    <w:p w14:paraId="009943BD" w14:textId="77777777" w:rsidR="006D0851" w:rsidRPr="008F33B5" w:rsidRDefault="006D0851" w:rsidP="006D0851">
      <w:pPr>
        <w:pStyle w:val="FootnoteText"/>
      </w:pPr>
      <w:r>
        <w:rPr>
          <w:rStyle w:val="FootnoteReference"/>
        </w:rPr>
        <w:footnoteRef/>
      </w:r>
      <w:r>
        <w:t xml:space="preserve"> See, for example, David Ford, </w:t>
      </w:r>
      <w:r>
        <w:rPr>
          <w:i/>
        </w:rPr>
        <w:t xml:space="preserve">The Gospel of John, </w:t>
      </w:r>
      <w:r>
        <w:t>p205</w:t>
      </w:r>
    </w:p>
  </w:footnote>
  <w:footnote w:id="3">
    <w:p w14:paraId="12C86C33" w14:textId="77777777" w:rsidR="006D0851" w:rsidRPr="009426EB" w:rsidRDefault="006D0851" w:rsidP="006D0851">
      <w:pPr>
        <w:pStyle w:val="FootnoteText"/>
      </w:pPr>
      <w:r>
        <w:rPr>
          <w:rStyle w:val="FootnoteReference"/>
        </w:rPr>
        <w:footnoteRef/>
      </w:r>
      <w:r>
        <w:t xml:space="preserve"> Michael Gorman, </w:t>
      </w:r>
      <w:r>
        <w:rPr>
          <w:i/>
        </w:rPr>
        <w:t xml:space="preserve">Abide and Go, </w:t>
      </w:r>
      <w:r>
        <w:t>p52</w:t>
      </w:r>
    </w:p>
  </w:footnote>
  <w:footnote w:id="4">
    <w:p w14:paraId="2DEB9F65" w14:textId="77777777" w:rsidR="006D0851" w:rsidRDefault="006D0851" w:rsidP="006D0851">
      <w:pPr>
        <w:pStyle w:val="FootnoteText"/>
      </w:pPr>
      <w:r>
        <w:rPr>
          <w:rStyle w:val="FootnoteReference"/>
        </w:rPr>
        <w:t>3</w:t>
      </w:r>
      <w:r>
        <w:t xml:space="preserve"> Donald Carson, ‘The Message of John’s Gospel’</w:t>
      </w:r>
    </w:p>
  </w:footnote>
  <w:footnote w:id="5">
    <w:p w14:paraId="434EB3E1" w14:textId="77777777" w:rsidR="006D0851" w:rsidRPr="00740B54" w:rsidRDefault="006D0851" w:rsidP="006D0851">
      <w:pPr>
        <w:pStyle w:val="FootnoteText"/>
      </w:pPr>
      <w:r>
        <w:rPr>
          <w:rStyle w:val="FootnoteReference"/>
        </w:rPr>
        <w:t>4</w:t>
      </w:r>
      <w:r>
        <w:t xml:space="preserve"> Michael Gorman, </w:t>
      </w:r>
      <w:r>
        <w:rPr>
          <w:i/>
        </w:rPr>
        <w:t xml:space="preserve">Abide and Go, </w:t>
      </w:r>
      <w:r>
        <w:t>p46</w:t>
      </w:r>
    </w:p>
  </w:footnote>
  <w:footnote w:id="6">
    <w:p w14:paraId="3D579A30" w14:textId="77777777" w:rsidR="006D0851" w:rsidRDefault="006D0851" w:rsidP="006D0851">
      <w:pPr>
        <w:pStyle w:val="FootnoteText"/>
      </w:pPr>
      <w:r>
        <w:rPr>
          <w:rStyle w:val="FootnoteReference"/>
        </w:rPr>
        <w:t>5</w:t>
      </w:r>
      <w:r>
        <w:t xml:space="preserve"> Richard Foster, Celebration of Discipline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C6056" w14:textId="77777777" w:rsidR="00C42268" w:rsidRDefault="00C422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F8C57" w14:textId="076873B6" w:rsidR="0064652C" w:rsidRDefault="003361AA" w:rsidP="000D00D0">
    <w:pPr>
      <w:pStyle w:val="Header"/>
      <w:tabs>
        <w:tab w:val="clear" w:pos="4513"/>
        <w:tab w:val="clear" w:pos="9026"/>
        <w:tab w:val="left" w:pos="255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AFDDF3A" wp14:editId="61B9537E">
          <wp:simplePos x="0" y="0"/>
          <wp:positionH relativeFrom="page">
            <wp:posOffset>0</wp:posOffset>
          </wp:positionH>
          <wp:positionV relativeFrom="paragraph">
            <wp:posOffset>-178816</wp:posOffset>
          </wp:positionV>
          <wp:extent cx="7560310" cy="10691131"/>
          <wp:effectExtent l="0" t="0" r="254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91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00D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5F8B" w14:textId="77777777" w:rsidR="00C42268" w:rsidRDefault="00C422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8FF"/>
    <w:multiLevelType w:val="hybridMultilevel"/>
    <w:tmpl w:val="4F0C10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5A30"/>
    <w:multiLevelType w:val="hybridMultilevel"/>
    <w:tmpl w:val="96C23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5394C"/>
    <w:multiLevelType w:val="hybridMultilevel"/>
    <w:tmpl w:val="C8B08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14AB5"/>
    <w:multiLevelType w:val="hybridMultilevel"/>
    <w:tmpl w:val="ECC4D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641F1"/>
    <w:multiLevelType w:val="hybridMultilevel"/>
    <w:tmpl w:val="D758E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742B0"/>
    <w:multiLevelType w:val="hybridMultilevel"/>
    <w:tmpl w:val="24DC8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B1270"/>
    <w:multiLevelType w:val="hybridMultilevel"/>
    <w:tmpl w:val="08807D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0C7E00"/>
    <w:multiLevelType w:val="hybridMultilevel"/>
    <w:tmpl w:val="27400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705B8"/>
    <w:multiLevelType w:val="hybridMultilevel"/>
    <w:tmpl w:val="EA7AE0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833AB"/>
    <w:multiLevelType w:val="hybridMultilevel"/>
    <w:tmpl w:val="714E2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A6AFF"/>
    <w:multiLevelType w:val="hybridMultilevel"/>
    <w:tmpl w:val="F744A1D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797C9F"/>
    <w:multiLevelType w:val="hybridMultilevel"/>
    <w:tmpl w:val="C69CD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152F2"/>
    <w:multiLevelType w:val="hybridMultilevel"/>
    <w:tmpl w:val="9D20479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0C4039"/>
    <w:multiLevelType w:val="hybridMultilevel"/>
    <w:tmpl w:val="67909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487772"/>
    <w:multiLevelType w:val="hybridMultilevel"/>
    <w:tmpl w:val="CF0464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7D7F65"/>
    <w:multiLevelType w:val="hybridMultilevel"/>
    <w:tmpl w:val="59BE4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00598"/>
    <w:multiLevelType w:val="hybridMultilevel"/>
    <w:tmpl w:val="6BBC7BAE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7E833CCA"/>
    <w:multiLevelType w:val="hybridMultilevel"/>
    <w:tmpl w:val="9A1EF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4"/>
  </w:num>
  <w:num w:numId="5">
    <w:abstractNumId w:val="9"/>
  </w:num>
  <w:num w:numId="6">
    <w:abstractNumId w:val="5"/>
  </w:num>
  <w:num w:numId="7">
    <w:abstractNumId w:val="10"/>
  </w:num>
  <w:num w:numId="8">
    <w:abstractNumId w:val="17"/>
  </w:num>
  <w:num w:numId="9">
    <w:abstractNumId w:val="7"/>
  </w:num>
  <w:num w:numId="10">
    <w:abstractNumId w:val="11"/>
  </w:num>
  <w:num w:numId="11">
    <w:abstractNumId w:val="2"/>
  </w:num>
  <w:num w:numId="12">
    <w:abstractNumId w:val="8"/>
  </w:num>
  <w:num w:numId="13">
    <w:abstractNumId w:val="4"/>
  </w:num>
  <w:num w:numId="14">
    <w:abstractNumId w:val="15"/>
  </w:num>
  <w:num w:numId="15">
    <w:abstractNumId w:val="3"/>
  </w:num>
  <w:num w:numId="16">
    <w:abstractNumId w:val="6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52C"/>
    <w:rsid w:val="000410F9"/>
    <w:rsid w:val="00042979"/>
    <w:rsid w:val="00061316"/>
    <w:rsid w:val="0007496D"/>
    <w:rsid w:val="00086F2B"/>
    <w:rsid w:val="000D00D0"/>
    <w:rsid w:val="00103F2C"/>
    <w:rsid w:val="00112DB0"/>
    <w:rsid w:val="00114F09"/>
    <w:rsid w:val="00160158"/>
    <w:rsid w:val="001819DC"/>
    <w:rsid w:val="00192773"/>
    <w:rsid w:val="001D611E"/>
    <w:rsid w:val="001E447E"/>
    <w:rsid w:val="00231667"/>
    <w:rsid w:val="00237C76"/>
    <w:rsid w:val="002503C3"/>
    <w:rsid w:val="00253385"/>
    <w:rsid w:val="0027581F"/>
    <w:rsid w:val="002828EF"/>
    <w:rsid w:val="0029111E"/>
    <w:rsid w:val="002A1457"/>
    <w:rsid w:val="003361AA"/>
    <w:rsid w:val="00341D0F"/>
    <w:rsid w:val="00343CC3"/>
    <w:rsid w:val="003A0D1F"/>
    <w:rsid w:val="003C17E8"/>
    <w:rsid w:val="003C7976"/>
    <w:rsid w:val="003E5BED"/>
    <w:rsid w:val="004A185C"/>
    <w:rsid w:val="004A6E16"/>
    <w:rsid w:val="004B4337"/>
    <w:rsid w:val="004C571A"/>
    <w:rsid w:val="00500C25"/>
    <w:rsid w:val="00503865"/>
    <w:rsid w:val="00514564"/>
    <w:rsid w:val="00536BCA"/>
    <w:rsid w:val="00567D1E"/>
    <w:rsid w:val="005711DF"/>
    <w:rsid w:val="005B41BB"/>
    <w:rsid w:val="005C31E1"/>
    <w:rsid w:val="005C36AC"/>
    <w:rsid w:val="005E1768"/>
    <w:rsid w:val="00601A70"/>
    <w:rsid w:val="00612D7C"/>
    <w:rsid w:val="0064652C"/>
    <w:rsid w:val="00646771"/>
    <w:rsid w:val="006A62ED"/>
    <w:rsid w:val="006D0851"/>
    <w:rsid w:val="0070561C"/>
    <w:rsid w:val="007935F0"/>
    <w:rsid w:val="007B4589"/>
    <w:rsid w:val="007D0D0C"/>
    <w:rsid w:val="007E5233"/>
    <w:rsid w:val="007E6B89"/>
    <w:rsid w:val="007F28D3"/>
    <w:rsid w:val="0080000F"/>
    <w:rsid w:val="008145E5"/>
    <w:rsid w:val="0085633F"/>
    <w:rsid w:val="00884647"/>
    <w:rsid w:val="00885D26"/>
    <w:rsid w:val="008A4810"/>
    <w:rsid w:val="00926DCF"/>
    <w:rsid w:val="0092775C"/>
    <w:rsid w:val="00931CF7"/>
    <w:rsid w:val="009A41C7"/>
    <w:rsid w:val="00A0167B"/>
    <w:rsid w:val="00A21829"/>
    <w:rsid w:val="00A57018"/>
    <w:rsid w:val="00A725AC"/>
    <w:rsid w:val="00A761AF"/>
    <w:rsid w:val="00A9454E"/>
    <w:rsid w:val="00AB24DB"/>
    <w:rsid w:val="00AB4723"/>
    <w:rsid w:val="00AC537E"/>
    <w:rsid w:val="00AE1CFF"/>
    <w:rsid w:val="00AE4339"/>
    <w:rsid w:val="00B07386"/>
    <w:rsid w:val="00B16EAE"/>
    <w:rsid w:val="00B32B08"/>
    <w:rsid w:val="00B532AD"/>
    <w:rsid w:val="00B85A53"/>
    <w:rsid w:val="00BB1692"/>
    <w:rsid w:val="00BC65CC"/>
    <w:rsid w:val="00BD7F42"/>
    <w:rsid w:val="00BE7994"/>
    <w:rsid w:val="00C42268"/>
    <w:rsid w:val="00C86B90"/>
    <w:rsid w:val="00CB0478"/>
    <w:rsid w:val="00CF1080"/>
    <w:rsid w:val="00D06FAB"/>
    <w:rsid w:val="00DA37C5"/>
    <w:rsid w:val="00DF00B4"/>
    <w:rsid w:val="00E01F93"/>
    <w:rsid w:val="00E8556A"/>
    <w:rsid w:val="00F27F49"/>
    <w:rsid w:val="00F5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AFF85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4652C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52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4652C"/>
  </w:style>
  <w:style w:type="paragraph" w:styleId="Footer">
    <w:name w:val="footer"/>
    <w:basedOn w:val="Normal"/>
    <w:link w:val="FooterChar"/>
    <w:uiPriority w:val="99"/>
    <w:unhideWhenUsed/>
    <w:rsid w:val="0064652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4652C"/>
  </w:style>
  <w:style w:type="paragraph" w:styleId="NormalWeb">
    <w:name w:val="Normal (Web)"/>
    <w:basedOn w:val="Normal"/>
    <w:uiPriority w:val="99"/>
    <w:unhideWhenUsed/>
    <w:rsid w:val="0064652C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semiHidden/>
    <w:unhideWhenUsed/>
    <w:rsid w:val="005B41BB"/>
  </w:style>
  <w:style w:type="paragraph" w:customStyle="1" w:styleId="Titles">
    <w:name w:val="Titles"/>
    <w:basedOn w:val="Normal"/>
    <w:link w:val="TitlesChar"/>
    <w:qFormat/>
    <w:rsid w:val="0080000F"/>
    <w:rPr>
      <w:rFonts w:ascii="Trebuchet MS" w:hAnsi="Trebuchet MS" w:cs="Arial"/>
      <w:b/>
      <w:color w:val="9031DF"/>
      <w:sz w:val="36"/>
      <w:szCs w:val="36"/>
    </w:rPr>
  </w:style>
  <w:style w:type="paragraph" w:customStyle="1" w:styleId="Headings">
    <w:name w:val="Headings"/>
    <w:basedOn w:val="Normal"/>
    <w:link w:val="HeadingsChar"/>
    <w:qFormat/>
    <w:rsid w:val="00926DCF"/>
    <w:rPr>
      <w:rFonts w:ascii="Trebuchet MS" w:hAnsi="Trebuchet MS" w:cs="Arial"/>
      <w:b/>
      <w:color w:val="9031DF"/>
      <w:sz w:val="28"/>
      <w:szCs w:val="28"/>
    </w:rPr>
  </w:style>
  <w:style w:type="character" w:customStyle="1" w:styleId="TitlesChar">
    <w:name w:val="Titles Char"/>
    <w:basedOn w:val="DefaultParagraphFont"/>
    <w:link w:val="Titles"/>
    <w:rsid w:val="0080000F"/>
    <w:rPr>
      <w:rFonts w:ascii="Trebuchet MS" w:eastAsia="Times New Roman" w:hAnsi="Trebuchet MS" w:cs="Arial"/>
      <w:b/>
      <w:color w:val="9031DF"/>
      <w:sz w:val="36"/>
      <w:szCs w:val="36"/>
      <w:lang w:eastAsia="en-GB"/>
    </w:rPr>
  </w:style>
  <w:style w:type="paragraph" w:customStyle="1" w:styleId="Subheadings">
    <w:name w:val="Subheadings"/>
    <w:basedOn w:val="Normal"/>
    <w:link w:val="SubheadingsChar"/>
    <w:qFormat/>
    <w:rsid w:val="00514564"/>
    <w:rPr>
      <w:rFonts w:ascii="Trebuchet MS" w:hAnsi="Trebuchet MS" w:cs="Arial"/>
      <w:b/>
      <w:sz w:val="22"/>
      <w:szCs w:val="22"/>
    </w:rPr>
  </w:style>
  <w:style w:type="character" w:customStyle="1" w:styleId="HeadingsChar">
    <w:name w:val="Headings Char"/>
    <w:basedOn w:val="DefaultParagraphFont"/>
    <w:link w:val="Headings"/>
    <w:rsid w:val="00926DCF"/>
    <w:rPr>
      <w:rFonts w:ascii="Trebuchet MS" w:eastAsia="Times New Roman" w:hAnsi="Trebuchet MS" w:cs="Arial"/>
      <w:b/>
      <w:color w:val="9031DF"/>
      <w:sz w:val="28"/>
      <w:szCs w:val="28"/>
      <w:lang w:eastAsia="en-GB"/>
    </w:rPr>
  </w:style>
  <w:style w:type="paragraph" w:customStyle="1" w:styleId="NormalCS">
    <w:name w:val="NormalCS"/>
    <w:basedOn w:val="Normal"/>
    <w:link w:val="NormalCSChar"/>
    <w:qFormat/>
    <w:rsid w:val="00514564"/>
    <w:rPr>
      <w:rFonts w:ascii="Trebuchet MS" w:hAnsi="Trebuchet MS" w:cs="Arial"/>
      <w:sz w:val="22"/>
      <w:szCs w:val="22"/>
    </w:rPr>
  </w:style>
  <w:style w:type="character" w:customStyle="1" w:styleId="SubheadingsChar">
    <w:name w:val="Subheadings Char"/>
    <w:basedOn w:val="DefaultParagraphFont"/>
    <w:link w:val="Subheadings"/>
    <w:rsid w:val="00514564"/>
    <w:rPr>
      <w:rFonts w:ascii="Trebuchet MS" w:eastAsia="Times New Roman" w:hAnsi="Trebuchet MS" w:cs="Arial"/>
      <w:b/>
      <w:sz w:val="22"/>
      <w:szCs w:val="22"/>
      <w:lang w:eastAsia="en-GB"/>
    </w:rPr>
  </w:style>
  <w:style w:type="paragraph" w:customStyle="1" w:styleId="paragraph">
    <w:name w:val="paragraph"/>
    <w:basedOn w:val="Normal"/>
    <w:rsid w:val="00514564"/>
    <w:pPr>
      <w:spacing w:before="100" w:beforeAutospacing="1" w:after="100" w:afterAutospacing="1"/>
    </w:pPr>
  </w:style>
  <w:style w:type="character" w:customStyle="1" w:styleId="NormalCSChar">
    <w:name w:val="NormalCS Char"/>
    <w:basedOn w:val="DefaultParagraphFont"/>
    <w:link w:val="NormalCS"/>
    <w:rsid w:val="00514564"/>
    <w:rPr>
      <w:rFonts w:ascii="Trebuchet MS" w:eastAsia="Times New Roman" w:hAnsi="Trebuchet MS" w:cs="Arial"/>
      <w:sz w:val="22"/>
      <w:szCs w:val="22"/>
      <w:lang w:eastAsia="en-GB"/>
    </w:rPr>
  </w:style>
  <w:style w:type="character" w:customStyle="1" w:styleId="normaltextrun">
    <w:name w:val="normaltextrun"/>
    <w:basedOn w:val="DefaultParagraphFont"/>
    <w:rsid w:val="00514564"/>
  </w:style>
  <w:style w:type="character" w:customStyle="1" w:styleId="text">
    <w:name w:val="text"/>
    <w:basedOn w:val="DefaultParagraphFont"/>
    <w:rsid w:val="00514564"/>
  </w:style>
  <w:style w:type="character" w:customStyle="1" w:styleId="woj">
    <w:name w:val="woj"/>
    <w:basedOn w:val="DefaultParagraphFont"/>
    <w:rsid w:val="00514564"/>
  </w:style>
  <w:style w:type="character" w:styleId="CommentReference">
    <w:name w:val="annotation reference"/>
    <w:basedOn w:val="DefaultParagraphFont"/>
    <w:uiPriority w:val="99"/>
    <w:semiHidden/>
    <w:unhideWhenUsed/>
    <w:rsid w:val="00237C7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C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C76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C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C76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07496D"/>
    <w:pPr>
      <w:ind w:left="720"/>
      <w:contextualSpacing/>
    </w:pPr>
  </w:style>
  <w:style w:type="character" w:customStyle="1" w:styleId="indent-1-breaks">
    <w:name w:val="indent-1-breaks"/>
    <w:basedOn w:val="DefaultParagraphFont"/>
    <w:rsid w:val="0092775C"/>
  </w:style>
  <w:style w:type="character" w:styleId="Hyperlink">
    <w:name w:val="Hyperlink"/>
    <w:basedOn w:val="DefaultParagraphFont"/>
    <w:uiPriority w:val="99"/>
    <w:unhideWhenUsed/>
    <w:rsid w:val="006D085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085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8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08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lvationist.org.uk/faith/our-vision-and-missi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6f9437-edad-4b70-8c1e-678e90a28dbe">
      <Terms xmlns="http://schemas.microsoft.com/office/infopath/2007/PartnerControls"/>
    </lcf76f155ced4ddcb4097134ff3c332f>
    <TaxCatchAll xmlns="13a34a21-b267-41f8-862e-9a79bb07b7e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F448C662FB394AAC99D0785FCB9EFE" ma:contentTypeVersion="15" ma:contentTypeDescription="Create a new document." ma:contentTypeScope="" ma:versionID="f78155a3091d6726535d503ac3d578d5">
  <xsd:schema xmlns:xsd="http://www.w3.org/2001/XMLSchema" xmlns:xs="http://www.w3.org/2001/XMLSchema" xmlns:p="http://schemas.microsoft.com/office/2006/metadata/properties" xmlns:ns2="466f9437-edad-4b70-8c1e-678e90a28dbe" xmlns:ns3="13a34a21-b267-41f8-862e-9a79bb07b7ec" targetNamespace="http://schemas.microsoft.com/office/2006/metadata/properties" ma:root="true" ma:fieldsID="c2f06bca687788cb9f43138d9a0e9fdc" ns2:_="" ns3:_="">
    <xsd:import namespace="466f9437-edad-4b70-8c1e-678e90a28dbe"/>
    <xsd:import namespace="13a34a21-b267-41f8-862e-9a79bb07b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f9437-edad-4b70-8c1e-678e90a28d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0a80d65-cb42-4a96-a38d-e87d92f540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34a21-b267-41f8-862e-9a79bb07b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034dcc-61d9-44f2-a14b-d11fb091c143}" ma:internalName="TaxCatchAll" ma:showField="CatchAllData" ma:web="13a34a21-b267-41f8-862e-9a79bb07b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D1F68-F2D1-45CA-B638-773557AAFE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E92B22-9705-469E-847A-D7D33B2D15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84FD3C-F1A9-4D53-8263-A43DE76A12EA}">
  <ds:schemaRefs>
    <ds:schemaRef ds:uri="http://schemas.microsoft.com/office/2006/metadata/properties"/>
    <ds:schemaRef ds:uri="http://schemas.microsoft.com/office/infopath/2007/PartnerControls"/>
    <ds:schemaRef ds:uri="466f9437-edad-4b70-8c1e-678e90a28dbe"/>
    <ds:schemaRef ds:uri="13a34a21-b267-41f8-862e-9a79bb07b7ec"/>
  </ds:schemaRefs>
</ds:datastoreItem>
</file>

<file path=customXml/itemProps4.xml><?xml version="1.0" encoding="utf-8"?>
<ds:datastoreItem xmlns:ds="http://schemas.openxmlformats.org/officeDocument/2006/customXml" ds:itemID="{5596AF63-25A3-4C39-BCE3-0513082BC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f9437-edad-4b70-8c1e-678e90a28dbe"/>
    <ds:schemaRef ds:uri="13a34a21-b267-41f8-862e-9a79bb07b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Nathanael Gillett</dc:creator>
  <cp:keywords/>
  <dc:description/>
  <cp:lastModifiedBy>Stephanie Chagas-Bijl</cp:lastModifiedBy>
  <cp:revision>8</cp:revision>
  <dcterms:created xsi:type="dcterms:W3CDTF">2022-11-17T15:16:00Z</dcterms:created>
  <dcterms:modified xsi:type="dcterms:W3CDTF">2022-11-17T16:20:00Z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0x0101004BF448C662FB394AAC99D0785FCB9EFE</vt:lpwstr>
  </property>
  <property fmtid="{D5CDD505-2E9C-101B-9397-08002B2CF9AE}" pid="3" name="MediaServiceImageTags">
    <vt:lpwstr/>
  </property>
</Properties>
</file>